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57F02" w14:textId="77777777" w:rsidR="00C14B6A" w:rsidRDefault="00C14B6A" w:rsidP="00C14B6A">
      <w:pPr>
        <w:rPr>
          <w:rFonts w:eastAsia="Times New Roman" w:cs="Times New Roman"/>
          <w:b/>
          <w:color w:val="000000"/>
          <w:shd w:val="clear" w:color="auto" w:fill="FFFFFF"/>
        </w:rPr>
      </w:pPr>
      <w:bookmarkStart w:id="0" w:name="_GoBack"/>
      <w:bookmarkEnd w:id="0"/>
    </w:p>
    <w:p w14:paraId="6031176F" w14:textId="0D0D38D5" w:rsidR="00115C24" w:rsidRPr="00BC125D" w:rsidRDefault="00115C24" w:rsidP="00C14B6A">
      <w:pPr>
        <w:rPr>
          <w:rFonts w:eastAsia="Times New Roman" w:cs="Times New Roman"/>
          <w:b/>
          <w:color w:val="548DD4" w:themeColor="text2" w:themeTint="99"/>
          <w:shd w:val="clear" w:color="auto" w:fill="FFFFFF"/>
        </w:rPr>
      </w:pPr>
      <w:r>
        <w:rPr>
          <w:rFonts w:eastAsia="Times New Roman" w:cs="Times New Roman"/>
          <w:b/>
          <w:noProof/>
          <w:color w:val="000000"/>
          <w:shd w:val="clear" w:color="auto" w:fill="FFFFFF"/>
          <w:lang w:val="en-US"/>
        </w:rPr>
        <w:drawing>
          <wp:inline distT="0" distB="0" distL="0" distR="0" wp14:anchorId="42C87727" wp14:editId="4B223592">
            <wp:extent cx="2247736" cy="1444413"/>
            <wp:effectExtent l="0" t="0" r="0" b="3810"/>
            <wp:docPr id="1" name="Picture 1" descr="Macintosh SSHD:Users:user:Desktop:Lincoln Food Partnership 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HD:Users:user:Desktop:Lincoln Food Partnership Logo_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8956" cy="1445197"/>
                    </a:xfrm>
                    <a:prstGeom prst="rect">
                      <a:avLst/>
                    </a:prstGeom>
                    <a:noFill/>
                    <a:ln>
                      <a:noFill/>
                    </a:ln>
                  </pic:spPr>
                </pic:pic>
              </a:graphicData>
            </a:graphic>
          </wp:inline>
        </w:drawing>
      </w:r>
    </w:p>
    <w:p w14:paraId="7A6DF3EF" w14:textId="77777777" w:rsidR="00115C24" w:rsidRDefault="00115C24" w:rsidP="00C14B6A">
      <w:pPr>
        <w:rPr>
          <w:rFonts w:eastAsia="Times New Roman" w:cs="Times New Roman"/>
          <w:b/>
          <w:color w:val="000000"/>
          <w:shd w:val="clear" w:color="auto" w:fill="FFFFFF"/>
        </w:rPr>
      </w:pPr>
    </w:p>
    <w:p w14:paraId="4416576D" w14:textId="6C50F4D4" w:rsidR="00C14B6A" w:rsidRPr="00115C24" w:rsidRDefault="00115C24" w:rsidP="00C14B6A">
      <w:pPr>
        <w:rPr>
          <w:rFonts w:ascii="Arial Rounded MT Bold" w:eastAsia="Times New Roman" w:hAnsi="Arial Rounded MT Bold" w:cs="Times New Roman"/>
          <w:b/>
          <w:color w:val="084001"/>
          <w:shd w:val="clear" w:color="auto" w:fill="FFFFFF"/>
        </w:rPr>
      </w:pPr>
      <w:r w:rsidRPr="00115C24">
        <w:rPr>
          <w:rFonts w:ascii="Arial Rounded MT Bold" w:eastAsia="Times New Roman" w:hAnsi="Arial Rounded MT Bold" w:cs="Times New Roman"/>
          <w:b/>
          <w:color w:val="084001"/>
          <w:shd w:val="clear" w:color="auto" w:fill="FFFFFF"/>
        </w:rPr>
        <w:t xml:space="preserve">Response to the Henry </w:t>
      </w:r>
      <w:r w:rsidR="00C14B6A" w:rsidRPr="00115C24">
        <w:rPr>
          <w:rFonts w:ascii="Arial Rounded MT Bold" w:eastAsia="Times New Roman" w:hAnsi="Arial Rounded MT Bold" w:cs="Times New Roman"/>
          <w:b/>
          <w:color w:val="084001"/>
          <w:shd w:val="clear" w:color="auto" w:fill="FFFFFF"/>
        </w:rPr>
        <w:t xml:space="preserve">Dimbleby </w:t>
      </w:r>
      <w:r w:rsidRPr="00115C24">
        <w:rPr>
          <w:rFonts w:ascii="Arial Rounded MT Bold" w:eastAsia="Times New Roman" w:hAnsi="Arial Rounded MT Bold" w:cs="Times New Roman"/>
          <w:b/>
          <w:color w:val="084001"/>
          <w:shd w:val="clear" w:color="auto" w:fill="FFFFFF"/>
        </w:rPr>
        <w:t xml:space="preserve">Food Strategy Consultation </w:t>
      </w:r>
    </w:p>
    <w:p w14:paraId="64BEE8F1" w14:textId="77777777" w:rsidR="00C14B6A" w:rsidRDefault="00C14B6A" w:rsidP="00C14B6A">
      <w:pPr>
        <w:rPr>
          <w:rFonts w:eastAsia="Times New Roman" w:cs="Times New Roman"/>
          <w:color w:val="000000"/>
          <w:shd w:val="clear" w:color="auto" w:fill="FFFFFF"/>
        </w:rPr>
      </w:pPr>
    </w:p>
    <w:p w14:paraId="0AFB5858" w14:textId="36E3C4BD" w:rsidR="003342E9" w:rsidRPr="00115C24" w:rsidRDefault="003342E9" w:rsidP="00C14B6A">
      <w:pPr>
        <w:rPr>
          <w:rFonts w:eastAsia="Times New Roman" w:cs="Times New Roman"/>
          <w:color w:val="FF0000"/>
          <w:shd w:val="clear" w:color="auto" w:fill="FFFFFF"/>
        </w:rPr>
      </w:pPr>
      <w:r w:rsidRPr="00115C24">
        <w:rPr>
          <w:rFonts w:eastAsia="Times New Roman" w:cs="Times New Roman"/>
          <w:color w:val="FF0000"/>
          <w:shd w:val="clear" w:color="auto" w:fill="FFFFFF"/>
        </w:rPr>
        <w:t>Introduction</w:t>
      </w:r>
      <w:r w:rsidR="00115C24" w:rsidRPr="00115C24">
        <w:rPr>
          <w:rFonts w:eastAsia="Times New Roman" w:cs="Times New Roman"/>
          <w:color w:val="FF0000"/>
          <w:shd w:val="clear" w:color="auto" w:fill="FFFFFF"/>
        </w:rPr>
        <w:t xml:space="preserve">: </w:t>
      </w:r>
      <w:r w:rsidR="00433E73">
        <w:rPr>
          <w:rFonts w:eastAsia="Times New Roman" w:cs="Times New Roman"/>
          <w:color w:val="FF0000"/>
          <w:shd w:val="clear" w:color="auto" w:fill="FFFFFF"/>
        </w:rPr>
        <w:t xml:space="preserve">the need to </w:t>
      </w:r>
      <w:r w:rsidR="00115C24" w:rsidRPr="00115C24">
        <w:rPr>
          <w:rFonts w:eastAsia="Times New Roman" w:cs="Times New Roman"/>
          <w:color w:val="FF0000"/>
          <w:shd w:val="clear" w:color="auto" w:fill="FFFFFF"/>
        </w:rPr>
        <w:t xml:space="preserve">move from an agricultural policy to a food policy.  </w:t>
      </w:r>
    </w:p>
    <w:p w14:paraId="6778E5EF" w14:textId="77777777" w:rsidR="003342E9" w:rsidRDefault="003342E9" w:rsidP="00C14B6A">
      <w:pPr>
        <w:rPr>
          <w:rFonts w:eastAsia="Times New Roman" w:cs="Times New Roman"/>
          <w:color w:val="000000"/>
          <w:shd w:val="clear" w:color="auto" w:fill="FFFFFF"/>
        </w:rPr>
      </w:pPr>
    </w:p>
    <w:p w14:paraId="4F4BF765" w14:textId="5C59016B" w:rsidR="00BC125D" w:rsidRDefault="00115C24" w:rsidP="00AD045F">
      <w:pPr>
        <w:rPr>
          <w:rFonts w:eastAsia="Times New Roman" w:cs="Times New Roman"/>
          <w:color w:val="000000"/>
          <w:shd w:val="clear" w:color="auto" w:fill="FFFFFF"/>
        </w:rPr>
      </w:pPr>
      <w:r>
        <w:rPr>
          <w:rFonts w:eastAsia="Times New Roman" w:cs="Times New Roman"/>
          <w:color w:val="000000"/>
          <w:shd w:val="clear" w:color="auto" w:fill="FFFFFF"/>
        </w:rPr>
        <w:t>The pre</w:t>
      </w:r>
      <w:r w:rsidR="00617E2C">
        <w:rPr>
          <w:rFonts w:eastAsia="Times New Roman" w:cs="Times New Roman"/>
          <w:color w:val="000000"/>
          <w:shd w:val="clear" w:color="auto" w:fill="FFFFFF"/>
        </w:rPr>
        <w:t>-</w:t>
      </w:r>
      <w:r>
        <w:rPr>
          <w:rFonts w:eastAsia="Times New Roman" w:cs="Times New Roman"/>
          <w:color w:val="000000"/>
          <w:shd w:val="clear" w:color="auto" w:fill="FFFFFF"/>
        </w:rPr>
        <w:t xml:space="preserve">possession </w:t>
      </w:r>
      <w:r w:rsidR="00AD045F">
        <w:rPr>
          <w:rFonts w:eastAsia="Times New Roman" w:cs="Times New Roman"/>
          <w:color w:val="000000"/>
          <w:shd w:val="clear" w:color="auto" w:fill="FFFFFF"/>
        </w:rPr>
        <w:t xml:space="preserve">with agriculture </w:t>
      </w:r>
      <w:r w:rsidR="00053062">
        <w:rPr>
          <w:rFonts w:eastAsia="Times New Roman" w:cs="Times New Roman"/>
          <w:color w:val="000000"/>
          <w:shd w:val="clear" w:color="auto" w:fill="FFFFFF"/>
        </w:rPr>
        <w:t xml:space="preserve">at the expense </w:t>
      </w:r>
      <w:r w:rsidR="00AD045F">
        <w:rPr>
          <w:rFonts w:eastAsia="Times New Roman" w:cs="Times New Roman"/>
          <w:color w:val="000000"/>
          <w:shd w:val="clear" w:color="auto" w:fill="FFFFFF"/>
        </w:rPr>
        <w:t xml:space="preserve">of food in policy </w:t>
      </w:r>
      <w:r w:rsidR="00BC125D">
        <w:rPr>
          <w:rFonts w:eastAsia="Times New Roman" w:cs="Times New Roman"/>
          <w:color w:val="000000"/>
          <w:shd w:val="clear" w:color="auto" w:fill="FFFFFF"/>
        </w:rPr>
        <w:t xml:space="preserve">in the UK </w:t>
      </w:r>
      <w:r w:rsidR="00AD045F">
        <w:rPr>
          <w:rFonts w:eastAsia="Times New Roman" w:cs="Times New Roman"/>
          <w:color w:val="000000"/>
          <w:shd w:val="clear" w:color="auto" w:fill="FFFFFF"/>
        </w:rPr>
        <w:t>needs to be redressed. Agricultural policy has been found wanting in terms of cost, and fail</w:t>
      </w:r>
      <w:r w:rsidR="00BC125D">
        <w:rPr>
          <w:rFonts w:eastAsia="Times New Roman" w:cs="Times New Roman"/>
          <w:color w:val="000000"/>
          <w:shd w:val="clear" w:color="auto" w:fill="FFFFFF"/>
        </w:rPr>
        <w:t>ure to meet objectives.</w:t>
      </w:r>
    </w:p>
    <w:p w14:paraId="3BA89620" w14:textId="77777777" w:rsidR="00BC125D" w:rsidRDefault="00BC125D" w:rsidP="00AD045F">
      <w:pPr>
        <w:rPr>
          <w:rFonts w:eastAsia="Times New Roman" w:cs="Times New Roman"/>
          <w:color w:val="000000"/>
          <w:shd w:val="clear" w:color="auto" w:fill="FFFFFF"/>
        </w:rPr>
      </w:pPr>
    </w:p>
    <w:p w14:paraId="45CEED66" w14:textId="379CBA96" w:rsidR="00AD045F" w:rsidRDefault="00617E2C" w:rsidP="00AD045F">
      <w:pPr>
        <w:rPr>
          <w:rFonts w:eastAsia="Times New Roman" w:cs="Times New Roman"/>
          <w:color w:val="000000"/>
          <w:shd w:val="clear" w:color="auto" w:fill="FFFFFF"/>
        </w:rPr>
      </w:pPr>
      <w:r w:rsidRPr="00617E2C">
        <w:rPr>
          <w:rFonts w:eastAsia="Times New Roman" w:cs="Times New Roman"/>
          <w:shd w:val="clear" w:color="auto" w:fill="FFFFFF"/>
        </w:rPr>
        <w:t>Direct</w:t>
      </w:r>
      <w:r w:rsidR="00BC125D" w:rsidRPr="00617E2C">
        <w:rPr>
          <w:rFonts w:eastAsia="Times New Roman" w:cs="Times New Roman"/>
          <w:shd w:val="clear" w:color="auto" w:fill="FFFFFF"/>
        </w:rPr>
        <w:t xml:space="preserve"> P</w:t>
      </w:r>
      <w:r w:rsidR="00AD045F" w:rsidRPr="00617E2C">
        <w:rPr>
          <w:rFonts w:eastAsia="Times New Roman" w:cs="Times New Roman"/>
          <w:shd w:val="clear" w:color="auto" w:fill="FFFFFF"/>
        </w:rPr>
        <w:t xml:space="preserve">ayments to farmers </w:t>
      </w:r>
      <w:r w:rsidRPr="00617E2C">
        <w:rPr>
          <w:rFonts w:eastAsia="Times New Roman" w:cs="Times New Roman"/>
          <w:shd w:val="clear" w:color="auto" w:fill="FFFFFF"/>
        </w:rPr>
        <w:t>in 2018</w:t>
      </w:r>
      <w:r w:rsidR="00AD045F" w:rsidRPr="00617E2C">
        <w:rPr>
          <w:rFonts w:eastAsia="Times New Roman" w:cs="Times New Roman"/>
          <w:shd w:val="clear" w:color="auto" w:fill="FFFFFF"/>
        </w:rPr>
        <w:t xml:space="preserve"> </w:t>
      </w:r>
      <w:r w:rsidRPr="00617E2C">
        <w:rPr>
          <w:rFonts w:eastAsia="Times New Roman" w:cs="Times New Roman"/>
          <w:shd w:val="clear" w:color="auto" w:fill="FFFFFF"/>
        </w:rPr>
        <w:t>were £2.75</w:t>
      </w:r>
      <w:r w:rsidR="00AD045F" w:rsidRPr="00617E2C">
        <w:rPr>
          <w:rFonts w:eastAsia="Times New Roman" w:cs="Times New Roman"/>
          <w:shd w:val="clear" w:color="auto" w:fill="FFFFFF"/>
        </w:rPr>
        <w:t xml:space="preserve"> billion</w:t>
      </w:r>
      <w:r w:rsidR="00BC125D" w:rsidRPr="00617E2C">
        <w:rPr>
          <w:rStyle w:val="FootnoteReference"/>
          <w:rFonts w:eastAsia="Times New Roman" w:cs="Times New Roman"/>
          <w:shd w:val="clear" w:color="auto" w:fill="FFFFFF"/>
        </w:rPr>
        <w:footnoteReference w:id="1"/>
      </w:r>
      <w:r w:rsidRPr="00617E2C">
        <w:rPr>
          <w:rFonts w:eastAsia="Times New Roman" w:cs="Times New Roman"/>
          <w:shd w:val="clear" w:color="auto" w:fill="FFFFFF"/>
        </w:rPr>
        <w:t xml:space="preserve"> and Environmental and LFA Payments an extra, £500 million</w:t>
      </w:r>
      <w:r>
        <w:rPr>
          <w:rFonts w:eastAsia="Times New Roman" w:cs="Times New Roman"/>
          <w:shd w:val="clear" w:color="auto" w:fill="FFFFFF"/>
        </w:rPr>
        <w:t>.</w:t>
      </w:r>
      <w:r>
        <w:rPr>
          <w:rFonts w:eastAsia="Times New Roman" w:cs="Times New Roman"/>
          <w:color w:val="0000FF"/>
          <w:shd w:val="clear" w:color="auto" w:fill="FFFFFF"/>
        </w:rPr>
        <w:t xml:space="preserve"> </w:t>
      </w:r>
      <w:r w:rsidRPr="00617E2C">
        <w:rPr>
          <w:rFonts w:eastAsia="Times New Roman" w:cs="Times New Roman"/>
          <w:shd w:val="clear" w:color="auto" w:fill="FFFFFF"/>
        </w:rPr>
        <w:t>R</w:t>
      </w:r>
      <w:r w:rsidR="00BC125D" w:rsidRPr="00617E2C">
        <w:rPr>
          <w:rFonts w:eastAsia="Times New Roman" w:cs="Times New Roman"/>
          <w:shd w:val="clear" w:color="auto" w:fill="FFFFFF"/>
        </w:rPr>
        <w:t>ed Diesel T</w:t>
      </w:r>
      <w:r w:rsidR="00AD045F" w:rsidRPr="00617E2C">
        <w:rPr>
          <w:rFonts w:eastAsia="Times New Roman" w:cs="Times New Roman"/>
          <w:shd w:val="clear" w:color="auto" w:fill="FFFFFF"/>
        </w:rPr>
        <w:t>ax relief</w:t>
      </w:r>
      <w:r w:rsidRPr="00617E2C">
        <w:rPr>
          <w:rFonts w:eastAsia="Times New Roman" w:cs="Times New Roman"/>
          <w:shd w:val="clear" w:color="auto" w:fill="FFFFFF"/>
        </w:rPr>
        <w:t xml:space="preserve"> to farmers was around £500 million, </w:t>
      </w:r>
      <w:r w:rsidR="008729AC">
        <w:rPr>
          <w:rFonts w:eastAsia="Times New Roman" w:cs="Times New Roman"/>
          <w:shd w:val="clear" w:color="auto" w:fill="FFFFFF"/>
        </w:rPr>
        <w:t>Business Rate R</w:t>
      </w:r>
      <w:r w:rsidR="00AD045F" w:rsidRPr="00617E2C">
        <w:rPr>
          <w:rFonts w:eastAsia="Times New Roman" w:cs="Times New Roman"/>
          <w:shd w:val="clear" w:color="auto" w:fill="FFFFFF"/>
        </w:rPr>
        <w:t xml:space="preserve">elief </w:t>
      </w:r>
      <w:r w:rsidRPr="00617E2C">
        <w:rPr>
          <w:rFonts w:eastAsia="Times New Roman" w:cs="Times New Roman"/>
          <w:shd w:val="clear" w:color="auto" w:fill="FFFFFF"/>
        </w:rPr>
        <w:t xml:space="preserve">around £1 billion </w:t>
      </w:r>
      <w:r w:rsidR="00AD045F" w:rsidRPr="00617E2C">
        <w:rPr>
          <w:rFonts w:eastAsia="Times New Roman" w:cs="Times New Roman"/>
          <w:shd w:val="clear" w:color="auto" w:fill="FFFFFF"/>
        </w:rPr>
        <w:t>and</w:t>
      </w:r>
      <w:r w:rsidRPr="00617E2C">
        <w:rPr>
          <w:rFonts w:eastAsia="Times New Roman" w:cs="Times New Roman"/>
          <w:shd w:val="clear" w:color="auto" w:fill="FFFFFF"/>
        </w:rPr>
        <w:t xml:space="preserve"> Inheritance Tax exemptions</w:t>
      </w:r>
      <w:r>
        <w:rPr>
          <w:rFonts w:eastAsia="Times New Roman" w:cs="Times New Roman"/>
          <w:shd w:val="clear" w:color="auto" w:fill="FFFFFF"/>
        </w:rPr>
        <w:t xml:space="preserve"> </w:t>
      </w:r>
      <w:r w:rsidR="00AD045F" w:rsidRPr="00617E2C">
        <w:rPr>
          <w:rFonts w:eastAsia="Times New Roman" w:cs="Times New Roman"/>
          <w:shd w:val="clear" w:color="auto" w:fill="FFFFFF"/>
        </w:rPr>
        <w:t xml:space="preserve">estimated </w:t>
      </w:r>
      <w:r w:rsidRPr="00617E2C">
        <w:rPr>
          <w:rFonts w:eastAsia="Times New Roman" w:cs="Times New Roman"/>
          <w:shd w:val="clear" w:color="auto" w:fill="FFFFFF"/>
        </w:rPr>
        <w:t>at</w:t>
      </w:r>
      <w:r w:rsidR="00AD045F" w:rsidRPr="00617E2C">
        <w:rPr>
          <w:rFonts w:eastAsia="Times New Roman" w:cs="Times New Roman"/>
          <w:shd w:val="clear" w:color="auto" w:fill="FFFFFF"/>
        </w:rPr>
        <w:t xml:space="preserve"> </w:t>
      </w:r>
      <w:r w:rsidRPr="00617E2C">
        <w:rPr>
          <w:rFonts w:eastAsia="Times New Roman" w:cs="Times New Roman"/>
          <w:shd w:val="clear" w:color="auto" w:fill="FFFFFF"/>
        </w:rPr>
        <w:t xml:space="preserve">between </w:t>
      </w:r>
      <w:r w:rsidR="00AD045F" w:rsidRPr="00617E2C">
        <w:rPr>
          <w:rFonts w:eastAsia="Times New Roman" w:cs="Times New Roman"/>
          <w:shd w:val="clear" w:color="auto" w:fill="FFFFFF"/>
        </w:rPr>
        <w:t>£500 and £700 million</w:t>
      </w:r>
      <w:r w:rsidRPr="00617E2C">
        <w:rPr>
          <w:rFonts w:eastAsia="Times New Roman" w:cs="Times New Roman"/>
          <w:shd w:val="clear" w:color="auto" w:fill="FFFFFF"/>
        </w:rPr>
        <w:t>.</w:t>
      </w:r>
      <w:r>
        <w:rPr>
          <w:rFonts w:eastAsia="Times New Roman" w:cs="Times New Roman"/>
          <w:color w:val="FABF8F" w:themeColor="accent6" w:themeTint="99"/>
          <w:shd w:val="clear" w:color="auto" w:fill="FFFFFF"/>
        </w:rPr>
        <w:t xml:space="preserve"> </w:t>
      </w:r>
      <w:r w:rsidR="00AD045F">
        <w:rPr>
          <w:rFonts w:eastAsia="Times New Roman" w:cs="Times New Roman"/>
          <w:color w:val="000000"/>
          <w:shd w:val="clear" w:color="auto" w:fill="FFFFFF"/>
        </w:rPr>
        <w:t xml:space="preserve">Only environmental payments </w:t>
      </w:r>
      <w:r>
        <w:rPr>
          <w:rFonts w:eastAsia="Times New Roman" w:cs="Times New Roman"/>
          <w:color w:val="000000"/>
          <w:shd w:val="clear" w:color="auto" w:fill="FFFFFF"/>
        </w:rPr>
        <w:t xml:space="preserve">(£436 million) </w:t>
      </w:r>
      <w:r w:rsidR="00AD045F">
        <w:rPr>
          <w:rFonts w:eastAsia="Times New Roman" w:cs="Times New Roman"/>
          <w:color w:val="000000"/>
          <w:shd w:val="clear" w:color="auto" w:fill="FFFFFF"/>
        </w:rPr>
        <w:t xml:space="preserve">explicitly </w:t>
      </w:r>
      <w:r w:rsidR="00084032">
        <w:rPr>
          <w:rFonts w:eastAsia="Times New Roman" w:cs="Times New Roman"/>
          <w:color w:val="000000"/>
          <w:shd w:val="clear" w:color="auto" w:fill="FFFFFF"/>
        </w:rPr>
        <w:t>address</w:t>
      </w:r>
      <w:r w:rsidR="00AD045F">
        <w:rPr>
          <w:rFonts w:eastAsia="Times New Roman" w:cs="Times New Roman"/>
          <w:color w:val="000000"/>
          <w:shd w:val="clear" w:color="auto" w:fill="FFFFFF"/>
        </w:rPr>
        <w:t xml:space="preserve"> </w:t>
      </w:r>
      <w:r w:rsidR="000D43E1">
        <w:rPr>
          <w:rFonts w:eastAsia="Times New Roman" w:cs="Times New Roman"/>
          <w:color w:val="000000"/>
          <w:shd w:val="clear" w:color="auto" w:fill="FFFFFF"/>
        </w:rPr>
        <w:t>non-market externalities.</w:t>
      </w:r>
    </w:p>
    <w:p w14:paraId="45691684" w14:textId="3C5D919B" w:rsidR="00115C24" w:rsidRDefault="00115C24" w:rsidP="00C14B6A">
      <w:pPr>
        <w:rPr>
          <w:rFonts w:eastAsia="Times New Roman" w:cs="Times New Roman"/>
          <w:color w:val="000000"/>
          <w:shd w:val="clear" w:color="auto" w:fill="FFFFFF"/>
        </w:rPr>
      </w:pPr>
    </w:p>
    <w:p w14:paraId="4AC2B13B" w14:textId="29AC4DB9" w:rsidR="00BE0365" w:rsidRDefault="00084032" w:rsidP="00C14B6A">
      <w:pPr>
        <w:rPr>
          <w:rFonts w:eastAsia="Times New Roman" w:cs="Times New Roman"/>
          <w:color w:val="000000"/>
          <w:shd w:val="clear" w:color="auto" w:fill="FFFFFF"/>
        </w:rPr>
      </w:pPr>
      <w:r>
        <w:rPr>
          <w:rFonts w:eastAsia="Times New Roman" w:cs="Times New Roman"/>
          <w:color w:val="000000"/>
          <w:shd w:val="clear" w:color="auto" w:fill="FFFFFF"/>
        </w:rPr>
        <w:t>Well over £5 billion of S</w:t>
      </w:r>
      <w:r w:rsidR="00053062">
        <w:rPr>
          <w:rFonts w:eastAsia="Times New Roman" w:cs="Times New Roman"/>
          <w:color w:val="000000"/>
          <w:shd w:val="clear" w:color="auto" w:fill="FFFFFF"/>
        </w:rPr>
        <w:t xml:space="preserve">tate </w:t>
      </w:r>
      <w:r w:rsidR="00BE0365">
        <w:rPr>
          <w:rFonts w:eastAsia="Times New Roman" w:cs="Times New Roman"/>
          <w:color w:val="000000"/>
          <w:shd w:val="clear" w:color="auto" w:fill="FFFFFF"/>
        </w:rPr>
        <w:t>aid</w:t>
      </w:r>
      <w:r w:rsidR="00053062">
        <w:rPr>
          <w:rFonts w:eastAsia="Times New Roman" w:cs="Times New Roman"/>
          <w:color w:val="000000"/>
          <w:shd w:val="clear" w:color="auto" w:fill="FFFFFF"/>
        </w:rPr>
        <w:t xml:space="preserve"> in 2018 supports</w:t>
      </w:r>
      <w:r w:rsidR="00BC125D">
        <w:rPr>
          <w:rFonts w:eastAsia="Times New Roman" w:cs="Times New Roman"/>
          <w:color w:val="000000"/>
          <w:shd w:val="clear" w:color="auto" w:fill="FFFFFF"/>
        </w:rPr>
        <w:t xml:space="preserve"> </w:t>
      </w:r>
      <w:r w:rsidR="00053062">
        <w:rPr>
          <w:rFonts w:eastAsia="Times New Roman" w:cs="Times New Roman"/>
          <w:color w:val="000000"/>
          <w:shd w:val="clear" w:color="auto" w:fill="FFFFFF"/>
        </w:rPr>
        <w:t xml:space="preserve">a </w:t>
      </w:r>
      <w:r w:rsidR="008068D5">
        <w:rPr>
          <w:rFonts w:eastAsia="Times New Roman" w:cs="Times New Roman"/>
          <w:color w:val="000000"/>
          <w:shd w:val="clear" w:color="auto" w:fill="FFFFFF"/>
        </w:rPr>
        <w:t>‘high inpu</w:t>
      </w:r>
      <w:r w:rsidR="00BC125D">
        <w:rPr>
          <w:rFonts w:eastAsia="Times New Roman" w:cs="Times New Roman"/>
          <w:color w:val="000000"/>
          <w:shd w:val="clear" w:color="auto" w:fill="FFFFFF"/>
        </w:rPr>
        <w:t xml:space="preserve">t’ </w:t>
      </w:r>
      <w:r w:rsidR="00433E73">
        <w:rPr>
          <w:rFonts w:eastAsia="Times New Roman" w:cs="Times New Roman"/>
          <w:color w:val="000000"/>
          <w:shd w:val="clear" w:color="auto" w:fill="FFFFFF"/>
        </w:rPr>
        <w:t>agriculture</w:t>
      </w:r>
      <w:r w:rsidR="00BC125D">
        <w:rPr>
          <w:rFonts w:eastAsia="Times New Roman" w:cs="Times New Roman"/>
          <w:color w:val="000000"/>
          <w:shd w:val="clear" w:color="auto" w:fill="FFFFFF"/>
        </w:rPr>
        <w:t xml:space="preserve"> that has failed to meet environmental and food security </w:t>
      </w:r>
      <w:r w:rsidR="00433E73">
        <w:rPr>
          <w:rFonts w:eastAsia="Times New Roman" w:cs="Times New Roman"/>
          <w:color w:val="000000"/>
          <w:shd w:val="clear" w:color="auto" w:fill="FFFFFF"/>
        </w:rPr>
        <w:t xml:space="preserve">policy </w:t>
      </w:r>
      <w:r w:rsidR="00BC125D">
        <w:rPr>
          <w:rFonts w:eastAsia="Times New Roman" w:cs="Times New Roman"/>
          <w:color w:val="000000"/>
          <w:shd w:val="clear" w:color="auto" w:fill="FFFFFF"/>
        </w:rPr>
        <w:t>objectives</w:t>
      </w:r>
      <w:r w:rsidR="00433E73">
        <w:rPr>
          <w:rFonts w:eastAsia="Times New Roman" w:cs="Times New Roman"/>
          <w:color w:val="000000"/>
          <w:shd w:val="clear" w:color="auto" w:fill="FFFFFF"/>
        </w:rPr>
        <w:t xml:space="preserve"> and has had</w:t>
      </w:r>
      <w:r w:rsidR="00BE0365">
        <w:rPr>
          <w:rFonts w:eastAsia="Times New Roman" w:cs="Times New Roman"/>
          <w:color w:val="000000"/>
          <w:shd w:val="clear" w:color="auto" w:fill="FFFFFF"/>
        </w:rPr>
        <w:t xml:space="preserve"> a range of </w:t>
      </w:r>
      <w:r w:rsidR="000D43E1">
        <w:rPr>
          <w:rFonts w:eastAsia="Times New Roman" w:cs="Times New Roman"/>
          <w:color w:val="000000"/>
          <w:shd w:val="clear" w:color="auto" w:fill="FFFFFF"/>
        </w:rPr>
        <w:t>detrimental economic impacts.</w:t>
      </w:r>
    </w:p>
    <w:p w14:paraId="29B6A0F1" w14:textId="77777777" w:rsidR="00BE0365" w:rsidRDefault="00BE0365" w:rsidP="00C14B6A">
      <w:pPr>
        <w:rPr>
          <w:rFonts w:eastAsia="Times New Roman" w:cs="Times New Roman"/>
          <w:color w:val="000000"/>
          <w:shd w:val="clear" w:color="auto" w:fill="FFFFFF"/>
        </w:rPr>
      </w:pPr>
    </w:p>
    <w:p w14:paraId="6D13A75F" w14:textId="77777777" w:rsidR="00BE0365" w:rsidRPr="00330FB4" w:rsidRDefault="00BE0365" w:rsidP="00BE0365">
      <w:pPr>
        <w:rPr>
          <w:i/>
          <w:iCs/>
          <w:color w:val="000000" w:themeColor="text1"/>
        </w:rPr>
      </w:pPr>
      <w:r>
        <w:rPr>
          <w:i/>
          <w:iCs/>
          <w:color w:val="000000" w:themeColor="text1"/>
        </w:rPr>
        <w:t>E</w:t>
      </w:r>
      <w:r w:rsidRPr="00330FB4">
        <w:rPr>
          <w:i/>
          <w:iCs/>
          <w:color w:val="000000" w:themeColor="text1"/>
        </w:rPr>
        <w:t>nvironment</w:t>
      </w:r>
    </w:p>
    <w:p w14:paraId="59FD7A66" w14:textId="522E89CC" w:rsidR="000D43E1" w:rsidRDefault="00BE0365" w:rsidP="00BE0365">
      <w:pPr>
        <w:pStyle w:val="ListParagraph"/>
        <w:numPr>
          <w:ilvl w:val="0"/>
          <w:numId w:val="2"/>
        </w:numPr>
        <w:rPr>
          <w:color w:val="000000" w:themeColor="text1"/>
        </w:rPr>
      </w:pPr>
      <w:r w:rsidRPr="000D43E1">
        <w:rPr>
          <w:i/>
          <w:color w:val="000000" w:themeColor="text1"/>
        </w:rPr>
        <w:t>Chemicals:</w:t>
      </w:r>
      <w:r w:rsidRPr="000D43E1">
        <w:rPr>
          <w:color w:val="000000" w:themeColor="text1"/>
        </w:rPr>
        <w:t xml:space="preserve"> high input agriculture has led to resource depletion </w:t>
      </w:r>
      <w:r w:rsidR="000D43E1" w:rsidRPr="000D43E1">
        <w:rPr>
          <w:color w:val="000000" w:themeColor="text1"/>
        </w:rPr>
        <w:t>(</w:t>
      </w:r>
      <w:r w:rsidRPr="000D43E1">
        <w:rPr>
          <w:color w:val="000000" w:themeColor="text1"/>
        </w:rPr>
        <w:t>soils and water), high levels of chemical pollution, detrimental land use change</w:t>
      </w:r>
      <w:r w:rsidR="000D43E1" w:rsidRPr="000D43E1">
        <w:rPr>
          <w:color w:val="000000" w:themeColor="text1"/>
        </w:rPr>
        <w:t>,</w:t>
      </w:r>
      <w:r w:rsidRPr="000D43E1">
        <w:rPr>
          <w:color w:val="000000" w:themeColor="text1"/>
        </w:rPr>
        <w:t xml:space="preserve"> price volatilities and </w:t>
      </w:r>
      <w:r w:rsidR="000D43E1" w:rsidRPr="000D43E1">
        <w:rPr>
          <w:color w:val="000000" w:themeColor="text1"/>
        </w:rPr>
        <w:t xml:space="preserve">significant </w:t>
      </w:r>
      <w:r w:rsidRPr="000D43E1">
        <w:rPr>
          <w:color w:val="000000" w:themeColor="text1"/>
        </w:rPr>
        <w:t>greenhouse gas emissions</w:t>
      </w:r>
      <w:r w:rsidR="000D43E1" w:rsidRPr="000D43E1">
        <w:rPr>
          <w:color w:val="000000" w:themeColor="text1"/>
        </w:rPr>
        <w:t xml:space="preserve"> (particularly from animal agriculture). T</w:t>
      </w:r>
      <w:r w:rsidRPr="000D43E1">
        <w:rPr>
          <w:color w:val="000000" w:themeColor="text1"/>
        </w:rPr>
        <w:t xml:space="preserve">he latter </w:t>
      </w:r>
      <w:r w:rsidR="000D43E1" w:rsidRPr="000D43E1">
        <w:rPr>
          <w:color w:val="000000" w:themeColor="text1"/>
        </w:rPr>
        <w:t xml:space="preserve">must be reduced by 70% from </w:t>
      </w:r>
      <w:r w:rsidRPr="000D43E1">
        <w:rPr>
          <w:color w:val="000000" w:themeColor="text1"/>
        </w:rPr>
        <w:t xml:space="preserve">the UK food chain by 2050 to meet binding </w:t>
      </w:r>
      <w:r w:rsidR="000D43E1" w:rsidRPr="000D43E1">
        <w:rPr>
          <w:color w:val="000000" w:themeColor="text1"/>
        </w:rPr>
        <w:t>international obligations</w:t>
      </w:r>
      <w:r w:rsidR="000D43E1">
        <w:rPr>
          <w:color w:val="000000" w:themeColor="text1"/>
        </w:rPr>
        <w:t>.</w:t>
      </w:r>
    </w:p>
    <w:p w14:paraId="4A460858" w14:textId="6C4D81B4" w:rsidR="00BE0365" w:rsidRPr="000D43E1" w:rsidRDefault="00BE0365" w:rsidP="00BE0365">
      <w:pPr>
        <w:pStyle w:val="ListParagraph"/>
        <w:numPr>
          <w:ilvl w:val="0"/>
          <w:numId w:val="2"/>
        </w:numPr>
        <w:rPr>
          <w:color w:val="000000" w:themeColor="text1"/>
        </w:rPr>
      </w:pPr>
      <w:r w:rsidRPr="000D43E1">
        <w:rPr>
          <w:i/>
          <w:color w:val="000000" w:themeColor="text1"/>
        </w:rPr>
        <w:t>Biodiversity loss</w:t>
      </w:r>
      <w:r w:rsidRPr="000D43E1">
        <w:rPr>
          <w:color w:val="000000" w:themeColor="text1"/>
        </w:rPr>
        <w:t>: despite considerable farm payments for environmental goods and services, species and numbers of birds and butterflies continue to fall, and three quarters of more than 200 ‘priority’ species (hedgehogs, door mice, moths) are down in number.</w:t>
      </w:r>
    </w:p>
    <w:p w14:paraId="5426BC53" w14:textId="77777777" w:rsidR="00BE0365" w:rsidRDefault="00BE0365" w:rsidP="00C14B6A">
      <w:pPr>
        <w:rPr>
          <w:rFonts w:eastAsia="Times New Roman" w:cs="Times New Roman"/>
          <w:color w:val="000000"/>
          <w:shd w:val="clear" w:color="auto" w:fill="FFFFFF"/>
        </w:rPr>
      </w:pPr>
    </w:p>
    <w:p w14:paraId="0B5C93EC" w14:textId="7475D0BF" w:rsidR="000D43E1" w:rsidRPr="000D43E1" w:rsidRDefault="000D43E1" w:rsidP="000D43E1">
      <w:pPr>
        <w:rPr>
          <w:i/>
          <w:iCs/>
          <w:color w:val="000000" w:themeColor="text1"/>
        </w:rPr>
      </w:pPr>
      <w:r w:rsidRPr="00330FB4">
        <w:rPr>
          <w:i/>
          <w:iCs/>
          <w:color w:val="000000" w:themeColor="text1"/>
        </w:rPr>
        <w:t xml:space="preserve">Food </w:t>
      </w:r>
      <w:r>
        <w:rPr>
          <w:i/>
          <w:iCs/>
          <w:color w:val="000000" w:themeColor="text1"/>
        </w:rPr>
        <w:t>security</w:t>
      </w:r>
    </w:p>
    <w:p w14:paraId="4953E029" w14:textId="12AEEF8D" w:rsidR="000D43E1" w:rsidRDefault="000D43E1" w:rsidP="000D43E1">
      <w:pPr>
        <w:pStyle w:val="ListParagraph"/>
        <w:numPr>
          <w:ilvl w:val="0"/>
          <w:numId w:val="2"/>
        </w:numPr>
        <w:rPr>
          <w:color w:val="000000" w:themeColor="text1"/>
        </w:rPr>
      </w:pPr>
      <w:r>
        <w:rPr>
          <w:color w:val="000000" w:themeColor="text1"/>
        </w:rPr>
        <w:t xml:space="preserve">Despite </w:t>
      </w:r>
      <w:r w:rsidR="00786867">
        <w:rPr>
          <w:color w:val="000000" w:themeColor="text1"/>
        </w:rPr>
        <w:t>farm support</w:t>
      </w:r>
      <w:r>
        <w:rPr>
          <w:color w:val="000000" w:themeColor="text1"/>
        </w:rPr>
        <w:t>,</w:t>
      </w:r>
      <w:r w:rsidRPr="00330FB4">
        <w:rPr>
          <w:color w:val="000000" w:themeColor="text1"/>
        </w:rPr>
        <w:t xml:space="preserve"> the UK imports </w:t>
      </w:r>
      <w:r>
        <w:rPr>
          <w:color w:val="000000" w:themeColor="text1"/>
        </w:rPr>
        <w:t xml:space="preserve">around </w:t>
      </w:r>
      <w:r w:rsidRPr="00330FB4">
        <w:rPr>
          <w:color w:val="000000" w:themeColor="text1"/>
        </w:rPr>
        <w:t>40% of its food</w:t>
      </w:r>
      <w:r>
        <w:rPr>
          <w:color w:val="000000" w:themeColor="text1"/>
        </w:rPr>
        <w:t xml:space="preserve"> (and exports food to about half the value of imports)</w:t>
      </w:r>
      <w:r w:rsidR="008729AC">
        <w:rPr>
          <w:color w:val="000000" w:themeColor="text1"/>
        </w:rPr>
        <w:t>.</w:t>
      </w:r>
    </w:p>
    <w:p w14:paraId="0E954950" w14:textId="77E0A8E5" w:rsidR="000D43E1" w:rsidRPr="00786867" w:rsidRDefault="000D43E1" w:rsidP="00786867">
      <w:pPr>
        <w:pStyle w:val="ListParagraph"/>
        <w:numPr>
          <w:ilvl w:val="0"/>
          <w:numId w:val="2"/>
        </w:numPr>
        <w:rPr>
          <w:color w:val="000000" w:themeColor="text1"/>
        </w:rPr>
      </w:pPr>
      <w:r w:rsidRPr="00786867">
        <w:rPr>
          <w:color w:val="000000" w:themeColor="text1"/>
        </w:rPr>
        <w:t>Farm sup</w:t>
      </w:r>
      <w:r w:rsidR="00786867">
        <w:rPr>
          <w:color w:val="000000" w:themeColor="text1"/>
        </w:rPr>
        <w:t>port has been shown to stifle innovation and encourage</w:t>
      </w:r>
      <w:r w:rsidRPr="00786867">
        <w:rPr>
          <w:color w:val="000000" w:themeColor="text1"/>
        </w:rPr>
        <w:t xml:space="preserve"> intensification. It cushions the need for farmers to be market responsive. Relative to demand, there is under-provision of most salad and vegetable</w:t>
      </w:r>
      <w:r w:rsidR="00786867">
        <w:rPr>
          <w:color w:val="000000" w:themeColor="text1"/>
        </w:rPr>
        <w:t>s</w:t>
      </w:r>
      <w:r w:rsidRPr="00786867">
        <w:rPr>
          <w:color w:val="000000" w:themeColor="text1"/>
        </w:rPr>
        <w:t>.</w:t>
      </w:r>
    </w:p>
    <w:p w14:paraId="102A280E" w14:textId="5C32077A" w:rsidR="000D43E1" w:rsidRPr="007B01CB" w:rsidRDefault="000D43E1" w:rsidP="000D43E1">
      <w:pPr>
        <w:pStyle w:val="ListParagraph"/>
        <w:numPr>
          <w:ilvl w:val="0"/>
          <w:numId w:val="2"/>
        </w:numPr>
        <w:rPr>
          <w:color w:val="000000" w:themeColor="text1"/>
        </w:rPr>
      </w:pPr>
      <w:r w:rsidRPr="00330FB4">
        <w:rPr>
          <w:color w:val="000000" w:themeColor="text1"/>
        </w:rPr>
        <w:t>A</w:t>
      </w:r>
      <w:r w:rsidR="008729AC">
        <w:rPr>
          <w:color w:val="000000" w:themeColor="text1"/>
        </w:rPr>
        <w:t>round a</w:t>
      </w:r>
      <w:r w:rsidRPr="00330FB4">
        <w:rPr>
          <w:color w:val="000000" w:themeColor="text1"/>
        </w:rPr>
        <w:t xml:space="preserve"> third of all food produced is lost or wasted each year (and 50% of the world’s fr</w:t>
      </w:r>
      <w:r w:rsidR="008729AC">
        <w:rPr>
          <w:color w:val="000000" w:themeColor="text1"/>
        </w:rPr>
        <w:t>uit and vegetable production). Globally, t</w:t>
      </w:r>
      <w:r w:rsidRPr="00330FB4">
        <w:rPr>
          <w:color w:val="000000" w:themeColor="text1"/>
        </w:rPr>
        <w:t>his is equivalent to 1% of the output of everything.</w:t>
      </w:r>
      <w:r w:rsidR="00786867">
        <w:rPr>
          <w:color w:val="000000" w:themeColor="text1"/>
        </w:rPr>
        <w:t xml:space="preserve"> </w:t>
      </w:r>
    </w:p>
    <w:p w14:paraId="5411DC27" w14:textId="77777777" w:rsidR="000D43E1" w:rsidRDefault="000D43E1" w:rsidP="00C14B6A">
      <w:pPr>
        <w:rPr>
          <w:rFonts w:eastAsia="Times New Roman" w:cs="Times New Roman"/>
          <w:color w:val="000000"/>
          <w:shd w:val="clear" w:color="auto" w:fill="FFFFFF"/>
        </w:rPr>
      </w:pPr>
    </w:p>
    <w:p w14:paraId="2B283226" w14:textId="535CB945" w:rsidR="00433E73" w:rsidRPr="00786867" w:rsidRDefault="00433E73" w:rsidP="00433E73">
      <w:pPr>
        <w:rPr>
          <w:i/>
          <w:iCs/>
          <w:color w:val="000000" w:themeColor="text1"/>
        </w:rPr>
      </w:pPr>
      <w:r w:rsidRPr="00330FB4">
        <w:rPr>
          <w:i/>
          <w:iCs/>
          <w:color w:val="000000" w:themeColor="text1"/>
        </w:rPr>
        <w:t>Economics</w:t>
      </w:r>
    </w:p>
    <w:p w14:paraId="4018A216" w14:textId="08A88630" w:rsidR="00433E73" w:rsidRPr="00BE0365" w:rsidRDefault="00433E73" w:rsidP="00BE0365">
      <w:pPr>
        <w:pStyle w:val="ListParagraph"/>
        <w:numPr>
          <w:ilvl w:val="0"/>
          <w:numId w:val="2"/>
        </w:numPr>
      </w:pPr>
      <w:r w:rsidRPr="00BE0365">
        <w:t xml:space="preserve">UK farm support is greater </w:t>
      </w:r>
      <w:r w:rsidR="00BE0365" w:rsidRPr="00BE0365">
        <w:t>than the total income from farming</w:t>
      </w:r>
      <w:r w:rsidR="00BE0365">
        <w:t xml:space="preserve"> (by £300 million)</w:t>
      </w:r>
      <w:r w:rsidRPr="00BE0365">
        <w:t xml:space="preserve">: agriculture is economically inefficient. </w:t>
      </w:r>
    </w:p>
    <w:p w14:paraId="22BA6A19" w14:textId="109A9DBD" w:rsidR="00433E73" w:rsidRPr="00433E73" w:rsidRDefault="00433E73" w:rsidP="00433E73">
      <w:pPr>
        <w:pStyle w:val="ListParagraph"/>
        <w:numPr>
          <w:ilvl w:val="0"/>
          <w:numId w:val="2"/>
        </w:numPr>
        <w:rPr>
          <w:color w:val="000000" w:themeColor="text1"/>
        </w:rPr>
      </w:pPr>
      <w:r w:rsidRPr="00330FB4">
        <w:rPr>
          <w:color w:val="000000" w:themeColor="text1"/>
        </w:rPr>
        <w:lastRenderedPageBreak/>
        <w:t xml:space="preserve">Farm </w:t>
      </w:r>
      <w:r w:rsidR="00786867">
        <w:rPr>
          <w:color w:val="000000" w:themeColor="text1"/>
        </w:rPr>
        <w:t>support is</w:t>
      </w:r>
      <w:r w:rsidRPr="00330FB4">
        <w:rPr>
          <w:color w:val="000000" w:themeColor="text1"/>
        </w:rPr>
        <w:t xml:space="preserve"> inequitable </w:t>
      </w:r>
      <w:r w:rsidR="00786867">
        <w:rPr>
          <w:color w:val="000000" w:themeColor="text1"/>
        </w:rPr>
        <w:t>in</w:t>
      </w:r>
      <w:r w:rsidRPr="00330FB4">
        <w:rPr>
          <w:color w:val="000000" w:themeColor="text1"/>
        </w:rPr>
        <w:t xml:space="preserve"> agriculture and </w:t>
      </w:r>
      <w:r w:rsidR="00786867">
        <w:rPr>
          <w:color w:val="000000" w:themeColor="text1"/>
        </w:rPr>
        <w:t>in</w:t>
      </w:r>
      <w:r w:rsidRPr="00330FB4">
        <w:rPr>
          <w:color w:val="000000" w:themeColor="text1"/>
        </w:rPr>
        <w:t xml:space="preserve"> the nation. </w:t>
      </w:r>
      <w:r w:rsidR="00786867">
        <w:rPr>
          <w:color w:val="000000" w:themeColor="text1"/>
        </w:rPr>
        <w:t>Basic Payments</w:t>
      </w:r>
      <w:r w:rsidRPr="00330FB4">
        <w:rPr>
          <w:color w:val="000000" w:themeColor="text1"/>
        </w:rPr>
        <w:t xml:space="preserve"> relate</w:t>
      </w:r>
      <w:r w:rsidR="00786867">
        <w:rPr>
          <w:color w:val="000000" w:themeColor="text1"/>
        </w:rPr>
        <w:t xml:space="preserve"> not</w:t>
      </w:r>
      <w:r w:rsidRPr="00330FB4">
        <w:rPr>
          <w:color w:val="000000" w:themeColor="text1"/>
        </w:rPr>
        <w:t xml:space="preserve"> to the amount of food produced but the amount of land </w:t>
      </w:r>
      <w:r>
        <w:rPr>
          <w:color w:val="000000" w:themeColor="text1"/>
        </w:rPr>
        <w:t>managed</w:t>
      </w:r>
      <w:r w:rsidRPr="00330FB4">
        <w:rPr>
          <w:color w:val="000000" w:themeColor="text1"/>
        </w:rPr>
        <w:t xml:space="preserve">. The largest (richest) </w:t>
      </w:r>
      <w:r>
        <w:rPr>
          <w:color w:val="000000" w:themeColor="text1"/>
        </w:rPr>
        <w:t>owners and managers</w:t>
      </w:r>
      <w:r w:rsidRPr="00330FB4">
        <w:rPr>
          <w:color w:val="000000" w:themeColor="text1"/>
        </w:rPr>
        <w:t xml:space="preserve"> get the most.</w:t>
      </w:r>
    </w:p>
    <w:p w14:paraId="64851453" w14:textId="7CF8623C" w:rsidR="00433E73" w:rsidRPr="00330FB4" w:rsidRDefault="00433E73" w:rsidP="00433E73">
      <w:pPr>
        <w:pStyle w:val="ListParagraph"/>
        <w:numPr>
          <w:ilvl w:val="0"/>
          <w:numId w:val="2"/>
        </w:numPr>
        <w:rPr>
          <w:color w:val="000000" w:themeColor="text1"/>
        </w:rPr>
      </w:pPr>
      <w:r w:rsidRPr="00330FB4">
        <w:rPr>
          <w:color w:val="000000" w:themeColor="text1"/>
        </w:rPr>
        <w:t>Food is more expensive as a result of farm</w:t>
      </w:r>
      <w:r w:rsidR="00786867">
        <w:rPr>
          <w:color w:val="000000" w:themeColor="text1"/>
        </w:rPr>
        <w:t xml:space="preserve"> support</w:t>
      </w:r>
      <w:r w:rsidRPr="00330FB4">
        <w:rPr>
          <w:color w:val="000000" w:themeColor="text1"/>
        </w:rPr>
        <w:t>, but the consumer pays a second time</w:t>
      </w:r>
      <w:r w:rsidR="00786867">
        <w:rPr>
          <w:color w:val="000000" w:themeColor="text1"/>
        </w:rPr>
        <w:t>,</w:t>
      </w:r>
      <w:r w:rsidRPr="00330FB4">
        <w:rPr>
          <w:color w:val="000000" w:themeColor="text1"/>
        </w:rPr>
        <w:t xml:space="preserve"> as the taxpayer who funds them. </w:t>
      </w:r>
    </w:p>
    <w:p w14:paraId="6069ACC9" w14:textId="232DE98C" w:rsidR="00433E73" w:rsidRDefault="00433E73" w:rsidP="00433E73">
      <w:pPr>
        <w:pStyle w:val="ListParagraph"/>
        <w:numPr>
          <w:ilvl w:val="0"/>
          <w:numId w:val="2"/>
        </w:numPr>
        <w:rPr>
          <w:color w:val="000000" w:themeColor="text1"/>
        </w:rPr>
      </w:pPr>
      <w:r w:rsidRPr="00330FB4">
        <w:rPr>
          <w:color w:val="000000" w:themeColor="text1"/>
        </w:rPr>
        <w:t xml:space="preserve">Because farm </w:t>
      </w:r>
      <w:r w:rsidR="00786867">
        <w:rPr>
          <w:color w:val="000000" w:themeColor="text1"/>
        </w:rPr>
        <w:t>support is</w:t>
      </w:r>
      <w:r w:rsidRPr="00330FB4">
        <w:rPr>
          <w:color w:val="000000" w:themeColor="text1"/>
        </w:rPr>
        <w:t xml:space="preserve"> tied to land, </w:t>
      </w:r>
      <w:r w:rsidR="00786867">
        <w:rPr>
          <w:color w:val="000000" w:themeColor="text1"/>
        </w:rPr>
        <w:t>it</w:t>
      </w:r>
      <w:r w:rsidRPr="00330FB4">
        <w:rPr>
          <w:color w:val="000000" w:themeColor="text1"/>
        </w:rPr>
        <w:t xml:space="preserve"> push</w:t>
      </w:r>
      <w:r w:rsidR="00786867">
        <w:rPr>
          <w:color w:val="000000" w:themeColor="text1"/>
        </w:rPr>
        <w:t>es</w:t>
      </w:r>
      <w:r w:rsidRPr="00330FB4">
        <w:rPr>
          <w:color w:val="000000" w:themeColor="text1"/>
        </w:rPr>
        <w:t xml:space="preserve"> up land prices beyond the reach of new entrants. The farm population ages and the rich buy the land for its investment value. </w:t>
      </w:r>
      <w:r>
        <w:rPr>
          <w:color w:val="000000" w:themeColor="text1"/>
        </w:rPr>
        <w:t xml:space="preserve">Business Rate </w:t>
      </w:r>
      <w:r w:rsidR="008729AC">
        <w:rPr>
          <w:color w:val="000000" w:themeColor="text1"/>
        </w:rPr>
        <w:t>R</w:t>
      </w:r>
      <w:r>
        <w:rPr>
          <w:color w:val="000000" w:themeColor="text1"/>
        </w:rPr>
        <w:t xml:space="preserve">elief and Inheritance Tax exemptions </w:t>
      </w:r>
      <w:r w:rsidRPr="00330FB4">
        <w:rPr>
          <w:color w:val="000000" w:themeColor="text1"/>
        </w:rPr>
        <w:t>exacerbate this.</w:t>
      </w:r>
    </w:p>
    <w:p w14:paraId="6121B3E2" w14:textId="77777777" w:rsidR="00433E73" w:rsidRPr="00330FB4" w:rsidRDefault="00433E73" w:rsidP="00BE0365">
      <w:pPr>
        <w:rPr>
          <w:color w:val="000000" w:themeColor="text1"/>
        </w:rPr>
      </w:pPr>
    </w:p>
    <w:p w14:paraId="79CE98C4" w14:textId="43B5AD6C" w:rsidR="003F4AF5" w:rsidRPr="003F4AF5" w:rsidRDefault="003F4AF5" w:rsidP="003F4AF5">
      <w:pPr>
        <w:rPr>
          <w:color w:val="000000" w:themeColor="text1"/>
        </w:rPr>
      </w:pPr>
      <w:r>
        <w:rPr>
          <w:color w:val="000000" w:themeColor="text1"/>
        </w:rPr>
        <w:t>Whilst this situation needs change with some urgency, it is recognised that such change will cause disruption in the conventional farm sector and this will require considerable structural adjustment</w:t>
      </w:r>
      <w:r w:rsidR="00084032">
        <w:rPr>
          <w:color w:val="000000" w:themeColor="text1"/>
        </w:rPr>
        <w:t xml:space="preserve"> support</w:t>
      </w:r>
      <w:r>
        <w:rPr>
          <w:color w:val="000000" w:themeColor="text1"/>
        </w:rPr>
        <w:t xml:space="preserve"> (but this must be time limited). </w:t>
      </w:r>
    </w:p>
    <w:p w14:paraId="07E31E1C" w14:textId="77777777" w:rsidR="00115C24" w:rsidRPr="00C14B6A" w:rsidRDefault="00115C24" w:rsidP="00C14B6A">
      <w:pPr>
        <w:rPr>
          <w:rFonts w:eastAsia="Times New Roman" w:cs="Times New Roman"/>
          <w:color w:val="000000"/>
          <w:shd w:val="clear" w:color="auto" w:fill="FFFFFF"/>
        </w:rPr>
      </w:pPr>
    </w:p>
    <w:p w14:paraId="7806FDE5" w14:textId="32836DE9" w:rsidR="00C14B6A" w:rsidRPr="00C14B6A" w:rsidRDefault="00C14B6A" w:rsidP="00C14B6A">
      <w:pPr>
        <w:rPr>
          <w:rFonts w:eastAsia="Times New Roman" w:cs="Times New Roman"/>
          <w:color w:val="FF0000"/>
          <w:shd w:val="clear" w:color="auto" w:fill="FFFFFF"/>
        </w:rPr>
      </w:pPr>
      <w:r>
        <w:rPr>
          <w:rFonts w:eastAsia="Times New Roman" w:cs="Times New Roman"/>
          <w:color w:val="FF0000"/>
          <w:shd w:val="clear" w:color="auto" w:fill="FFFFFF"/>
        </w:rPr>
        <w:t>T</w:t>
      </w:r>
      <w:r w:rsidRPr="00C14B6A">
        <w:rPr>
          <w:rFonts w:eastAsia="Times New Roman" w:cs="Times New Roman"/>
          <w:color w:val="FF0000"/>
          <w:shd w:val="clear" w:color="auto" w:fill="FFFFFF"/>
        </w:rPr>
        <w:t xml:space="preserve">he environmental and health problems caused by our food system </w:t>
      </w:r>
    </w:p>
    <w:p w14:paraId="3F472F74" w14:textId="77777777" w:rsidR="00C14B6A" w:rsidRDefault="00C14B6A" w:rsidP="00C14B6A">
      <w:pPr>
        <w:rPr>
          <w:rFonts w:eastAsia="Times New Roman" w:cs="Times New Roman"/>
          <w:color w:val="000000"/>
          <w:shd w:val="clear" w:color="auto" w:fill="FFFFFF"/>
        </w:rPr>
      </w:pPr>
    </w:p>
    <w:p w14:paraId="2889CD6D" w14:textId="336562EC" w:rsidR="007B7BB5" w:rsidRDefault="003F4AF5" w:rsidP="00C14B6A">
      <w:pPr>
        <w:rPr>
          <w:rFonts w:eastAsia="Times New Roman" w:cs="Times New Roman"/>
          <w:color w:val="000000"/>
          <w:shd w:val="clear" w:color="auto" w:fill="FFFFFF"/>
        </w:rPr>
      </w:pPr>
      <w:r>
        <w:rPr>
          <w:rFonts w:eastAsia="Times New Roman" w:cs="Times New Roman"/>
          <w:color w:val="000000"/>
          <w:shd w:val="clear" w:color="auto" w:fill="FFFFFF"/>
        </w:rPr>
        <w:t xml:space="preserve">Whilst </w:t>
      </w:r>
      <w:r w:rsidR="007B7BB5">
        <w:rPr>
          <w:rFonts w:eastAsia="Times New Roman" w:cs="Times New Roman"/>
          <w:color w:val="000000"/>
          <w:shd w:val="clear" w:color="auto" w:fill="FFFFFF"/>
        </w:rPr>
        <w:t xml:space="preserve">those </w:t>
      </w:r>
      <w:r w:rsidR="008729AC">
        <w:rPr>
          <w:rFonts w:eastAsia="Times New Roman" w:cs="Times New Roman"/>
          <w:color w:val="000000"/>
          <w:shd w:val="clear" w:color="auto" w:fill="FFFFFF"/>
        </w:rPr>
        <w:t xml:space="preserve">environmental and health problems </w:t>
      </w:r>
      <w:r w:rsidR="007B7BB5">
        <w:rPr>
          <w:rFonts w:eastAsia="Times New Roman" w:cs="Times New Roman"/>
          <w:color w:val="000000"/>
          <w:shd w:val="clear" w:color="auto" w:fill="FFFFFF"/>
        </w:rPr>
        <w:t xml:space="preserve">attributable to current agricultural practice </w:t>
      </w:r>
      <w:r>
        <w:rPr>
          <w:rFonts w:eastAsia="Times New Roman" w:cs="Times New Roman"/>
          <w:color w:val="000000"/>
          <w:shd w:val="clear" w:color="auto" w:fill="FFFFFF"/>
        </w:rPr>
        <w:t>have been noted above, the core to ameliorating them is to consider them as non-market externalities. The current Gove proposals for agri</w:t>
      </w:r>
      <w:r w:rsidR="00CC33A3">
        <w:rPr>
          <w:rFonts w:eastAsia="Times New Roman" w:cs="Times New Roman"/>
          <w:color w:val="000000"/>
          <w:shd w:val="clear" w:color="auto" w:fill="FFFFFF"/>
        </w:rPr>
        <w:t>cultural policy reform consider</w:t>
      </w:r>
      <w:r>
        <w:rPr>
          <w:rFonts w:eastAsia="Times New Roman" w:cs="Times New Roman"/>
          <w:color w:val="000000"/>
          <w:shd w:val="clear" w:color="auto" w:fill="FFFFFF"/>
        </w:rPr>
        <w:t xml:space="preserve"> only biodiversity externalities. Within the food system as a whole, in contrast, there</w:t>
      </w:r>
      <w:r w:rsidR="00CC33A3">
        <w:rPr>
          <w:rFonts w:eastAsia="Times New Roman" w:cs="Times New Roman"/>
          <w:color w:val="000000"/>
          <w:shd w:val="clear" w:color="auto" w:fill="FFFFFF"/>
        </w:rPr>
        <w:t xml:space="preserve"> are at least seven externalities that need to be accommodated within any </w:t>
      </w:r>
      <w:r w:rsidR="007B7BB5">
        <w:rPr>
          <w:rFonts w:eastAsia="Times New Roman" w:cs="Times New Roman"/>
          <w:color w:val="000000"/>
          <w:shd w:val="clear" w:color="auto" w:fill="FFFFFF"/>
        </w:rPr>
        <w:t xml:space="preserve">food strategy. </w:t>
      </w:r>
      <w:r w:rsidR="008D1FE6">
        <w:rPr>
          <w:rFonts w:eastAsia="Times New Roman" w:cs="Times New Roman"/>
          <w:color w:val="000000"/>
          <w:shd w:val="clear" w:color="auto" w:fill="FFFFFF"/>
        </w:rPr>
        <w:t xml:space="preserve"> We have not provided lengthy justifications of these here as they are widely known. Broadly, two fall at the  production end of the food system, two at the consumption end and three are pervasive of the whole system. </w:t>
      </w:r>
    </w:p>
    <w:p w14:paraId="6EDA245E" w14:textId="76A18637" w:rsidR="008D1FE6" w:rsidRDefault="008D1FE6" w:rsidP="00C14B6A">
      <w:pPr>
        <w:rPr>
          <w:rFonts w:eastAsia="Times New Roman" w:cs="Times New Roman"/>
          <w:color w:val="000000"/>
          <w:shd w:val="clear" w:color="auto" w:fill="FFFFFF"/>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017"/>
        <w:gridCol w:w="2936"/>
      </w:tblGrid>
      <w:tr w:rsidR="008D1FE6" w14:paraId="2F401B65" w14:textId="77777777" w:rsidTr="008D1FE6">
        <w:tc>
          <w:tcPr>
            <w:tcW w:w="2660" w:type="dxa"/>
          </w:tcPr>
          <w:p w14:paraId="3D2CFBF2" w14:textId="65D0A1E9" w:rsidR="008D1FE6" w:rsidRPr="008D1FE6" w:rsidRDefault="008D1FE6" w:rsidP="00C14B6A">
            <w:pPr>
              <w:rPr>
                <w:rFonts w:eastAsia="Times New Roman" w:cs="Times New Roman"/>
                <w:i/>
                <w:color w:val="000000"/>
                <w:shd w:val="clear" w:color="auto" w:fill="FFFFFF"/>
              </w:rPr>
            </w:pPr>
            <w:r w:rsidRPr="008D1FE6">
              <w:rPr>
                <w:rFonts w:eastAsia="Times New Roman" w:cs="Times New Roman"/>
                <w:i/>
                <w:color w:val="000000"/>
                <w:shd w:val="clear" w:color="auto" w:fill="FFFFFF"/>
              </w:rPr>
              <w:t>Production externalities</w:t>
            </w:r>
          </w:p>
        </w:tc>
        <w:tc>
          <w:tcPr>
            <w:tcW w:w="3017" w:type="dxa"/>
          </w:tcPr>
          <w:p w14:paraId="01CA474A" w14:textId="0FE05053" w:rsidR="008D1FE6" w:rsidRPr="008D1FE6" w:rsidRDefault="008D1FE6" w:rsidP="00C14B6A">
            <w:pPr>
              <w:rPr>
                <w:rFonts w:eastAsia="Times New Roman" w:cs="Times New Roman"/>
                <w:i/>
                <w:color w:val="000000"/>
                <w:shd w:val="clear" w:color="auto" w:fill="FFFFFF"/>
              </w:rPr>
            </w:pPr>
            <w:r>
              <w:rPr>
                <w:rFonts w:eastAsia="Times New Roman" w:cs="Times New Roman"/>
                <w:i/>
                <w:color w:val="000000"/>
                <w:shd w:val="clear" w:color="auto" w:fill="FFFFFF"/>
              </w:rPr>
              <w:t xml:space="preserve">Whole </w:t>
            </w:r>
            <w:r w:rsidRPr="008D1FE6">
              <w:rPr>
                <w:rFonts w:eastAsia="Times New Roman" w:cs="Times New Roman"/>
                <w:i/>
                <w:color w:val="000000"/>
                <w:shd w:val="clear" w:color="auto" w:fill="FFFFFF"/>
              </w:rPr>
              <w:t>System externalities</w:t>
            </w:r>
          </w:p>
        </w:tc>
        <w:tc>
          <w:tcPr>
            <w:tcW w:w="2936" w:type="dxa"/>
          </w:tcPr>
          <w:p w14:paraId="481D833A" w14:textId="2B762A1D" w:rsidR="008D1FE6" w:rsidRPr="008D1FE6" w:rsidRDefault="008D1FE6" w:rsidP="00C14B6A">
            <w:pPr>
              <w:rPr>
                <w:rFonts w:eastAsia="Times New Roman" w:cs="Times New Roman"/>
                <w:i/>
                <w:color w:val="000000"/>
                <w:shd w:val="clear" w:color="auto" w:fill="FFFFFF"/>
              </w:rPr>
            </w:pPr>
            <w:r w:rsidRPr="008D1FE6">
              <w:rPr>
                <w:rFonts w:eastAsia="Times New Roman" w:cs="Times New Roman"/>
                <w:i/>
                <w:color w:val="000000"/>
                <w:shd w:val="clear" w:color="auto" w:fill="FFFFFF"/>
              </w:rPr>
              <w:t xml:space="preserve">Consumption externalities </w:t>
            </w:r>
          </w:p>
        </w:tc>
      </w:tr>
      <w:tr w:rsidR="008D1FE6" w14:paraId="3E13BF9A" w14:textId="77777777" w:rsidTr="008D1FE6">
        <w:trPr>
          <w:trHeight w:val="203"/>
        </w:trPr>
        <w:tc>
          <w:tcPr>
            <w:tcW w:w="2660" w:type="dxa"/>
          </w:tcPr>
          <w:p w14:paraId="4B18411A" w14:textId="77777777" w:rsidR="008D1FE6" w:rsidRPr="008D1FE6" w:rsidRDefault="008D1FE6" w:rsidP="00C14B6A">
            <w:pPr>
              <w:rPr>
                <w:rFonts w:eastAsia="Times New Roman" w:cs="Times New Roman"/>
                <w:i/>
                <w:color w:val="000000"/>
                <w:shd w:val="clear" w:color="auto" w:fill="FFFFFF"/>
              </w:rPr>
            </w:pPr>
          </w:p>
        </w:tc>
        <w:tc>
          <w:tcPr>
            <w:tcW w:w="3017" w:type="dxa"/>
          </w:tcPr>
          <w:p w14:paraId="7C866439" w14:textId="77777777" w:rsidR="008D1FE6" w:rsidRDefault="008D1FE6" w:rsidP="00C14B6A">
            <w:pPr>
              <w:rPr>
                <w:rFonts w:eastAsia="Times New Roman" w:cs="Times New Roman"/>
                <w:i/>
                <w:color w:val="000000"/>
                <w:shd w:val="clear" w:color="auto" w:fill="FFFFFF"/>
              </w:rPr>
            </w:pPr>
          </w:p>
        </w:tc>
        <w:tc>
          <w:tcPr>
            <w:tcW w:w="2936" w:type="dxa"/>
          </w:tcPr>
          <w:p w14:paraId="4ABFE07C" w14:textId="77777777" w:rsidR="008D1FE6" w:rsidRPr="008D1FE6" w:rsidRDefault="008D1FE6" w:rsidP="00C14B6A">
            <w:pPr>
              <w:rPr>
                <w:rFonts w:eastAsia="Times New Roman" w:cs="Times New Roman"/>
                <w:i/>
                <w:color w:val="000000"/>
                <w:shd w:val="clear" w:color="auto" w:fill="FFFFFF"/>
              </w:rPr>
            </w:pPr>
          </w:p>
        </w:tc>
      </w:tr>
      <w:tr w:rsidR="008D1FE6" w14:paraId="3ECFBA11" w14:textId="77777777" w:rsidTr="008D1FE6">
        <w:tc>
          <w:tcPr>
            <w:tcW w:w="2660" w:type="dxa"/>
          </w:tcPr>
          <w:p w14:paraId="4967BB92" w14:textId="6F3A6995"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Biodiversity</w:t>
            </w:r>
          </w:p>
        </w:tc>
        <w:tc>
          <w:tcPr>
            <w:tcW w:w="3017" w:type="dxa"/>
          </w:tcPr>
          <w:p w14:paraId="2B93ADA0" w14:textId="2EF16B2C"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Food Miles</w:t>
            </w:r>
          </w:p>
        </w:tc>
        <w:tc>
          <w:tcPr>
            <w:tcW w:w="2936" w:type="dxa"/>
          </w:tcPr>
          <w:p w14:paraId="5B78A7F1" w14:textId="7EA93C24"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Obesity</w:t>
            </w:r>
          </w:p>
        </w:tc>
      </w:tr>
      <w:tr w:rsidR="008D1FE6" w14:paraId="7F37F6F0" w14:textId="77777777" w:rsidTr="008D1FE6">
        <w:tc>
          <w:tcPr>
            <w:tcW w:w="2660" w:type="dxa"/>
          </w:tcPr>
          <w:p w14:paraId="4221FF22" w14:textId="3D752405"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Chemical Pollution</w:t>
            </w:r>
          </w:p>
        </w:tc>
        <w:tc>
          <w:tcPr>
            <w:tcW w:w="3017" w:type="dxa"/>
          </w:tcPr>
          <w:p w14:paraId="2D4596D7" w14:textId="51F39FDE"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Food Waste</w:t>
            </w:r>
          </w:p>
        </w:tc>
        <w:tc>
          <w:tcPr>
            <w:tcW w:w="2936" w:type="dxa"/>
          </w:tcPr>
          <w:p w14:paraId="61B887A0" w14:textId="0A48EF81" w:rsidR="008D1FE6" w:rsidRDefault="008D1FE6" w:rsidP="00C14B6A">
            <w:pPr>
              <w:rPr>
                <w:rFonts w:eastAsia="Times New Roman" w:cs="Times New Roman"/>
                <w:color w:val="000000"/>
                <w:shd w:val="clear" w:color="auto" w:fill="FFFFFF"/>
              </w:rPr>
            </w:pPr>
            <w:r>
              <w:rPr>
                <w:rFonts w:eastAsia="Times New Roman" w:cs="Times New Roman"/>
                <w:color w:val="000000"/>
                <w:shd w:val="clear" w:color="auto" w:fill="FFFFFF"/>
              </w:rPr>
              <w:t>Food Poverty</w:t>
            </w:r>
          </w:p>
        </w:tc>
      </w:tr>
      <w:tr w:rsidR="008D1FE6" w14:paraId="67A6D008" w14:textId="77777777" w:rsidTr="008D1FE6">
        <w:tc>
          <w:tcPr>
            <w:tcW w:w="2660" w:type="dxa"/>
          </w:tcPr>
          <w:p w14:paraId="5B844DF4" w14:textId="77777777" w:rsidR="008D1FE6" w:rsidRDefault="008D1FE6" w:rsidP="00C14B6A">
            <w:pPr>
              <w:rPr>
                <w:rFonts w:eastAsia="Times New Roman" w:cs="Times New Roman"/>
                <w:color w:val="000000"/>
                <w:shd w:val="clear" w:color="auto" w:fill="FFFFFF"/>
              </w:rPr>
            </w:pPr>
          </w:p>
        </w:tc>
        <w:tc>
          <w:tcPr>
            <w:tcW w:w="3017" w:type="dxa"/>
          </w:tcPr>
          <w:p w14:paraId="7DAF632D" w14:textId="2B18D1E6" w:rsidR="008D1FE6" w:rsidRDefault="008D1FE6" w:rsidP="008D1FE6">
            <w:pPr>
              <w:rPr>
                <w:rFonts w:eastAsia="Times New Roman" w:cs="Times New Roman"/>
                <w:color w:val="000000"/>
                <w:shd w:val="clear" w:color="auto" w:fill="FFFFFF"/>
              </w:rPr>
            </w:pPr>
            <w:r>
              <w:rPr>
                <w:rFonts w:eastAsia="Times New Roman" w:cs="Times New Roman"/>
                <w:color w:val="000000"/>
                <w:shd w:val="clear" w:color="auto" w:fill="FFFFFF"/>
              </w:rPr>
              <w:t xml:space="preserve">Food Education </w:t>
            </w:r>
          </w:p>
        </w:tc>
        <w:tc>
          <w:tcPr>
            <w:tcW w:w="2936" w:type="dxa"/>
          </w:tcPr>
          <w:p w14:paraId="4C7CB7DF" w14:textId="77777777" w:rsidR="008D1FE6" w:rsidRDefault="008D1FE6" w:rsidP="00C14B6A">
            <w:pPr>
              <w:rPr>
                <w:rFonts w:eastAsia="Times New Roman" w:cs="Times New Roman"/>
                <w:color w:val="000000"/>
                <w:shd w:val="clear" w:color="auto" w:fill="FFFFFF"/>
              </w:rPr>
            </w:pPr>
          </w:p>
        </w:tc>
      </w:tr>
    </w:tbl>
    <w:p w14:paraId="55DE7BCA" w14:textId="77777777" w:rsidR="008D1FE6" w:rsidRDefault="008D1FE6" w:rsidP="00C14B6A">
      <w:pPr>
        <w:rPr>
          <w:rFonts w:eastAsia="Times New Roman" w:cs="Times New Roman"/>
          <w:color w:val="000000"/>
          <w:shd w:val="clear" w:color="auto" w:fill="FFFFFF"/>
        </w:rPr>
      </w:pPr>
    </w:p>
    <w:p w14:paraId="24827B0B" w14:textId="021C5363" w:rsidR="003F4AF5" w:rsidRDefault="00084032" w:rsidP="00C14B6A">
      <w:pPr>
        <w:rPr>
          <w:rFonts w:eastAsia="Times New Roman" w:cs="Times New Roman"/>
          <w:color w:val="000000"/>
          <w:shd w:val="clear" w:color="auto" w:fill="FFFFFF"/>
        </w:rPr>
      </w:pPr>
      <w:r>
        <w:rPr>
          <w:rFonts w:eastAsia="Times New Roman" w:cs="Times New Roman"/>
          <w:color w:val="000000"/>
          <w:shd w:val="clear" w:color="auto" w:fill="FFFFFF"/>
        </w:rPr>
        <w:t>E</w:t>
      </w:r>
      <w:r w:rsidR="00CC33A3">
        <w:rPr>
          <w:rFonts w:eastAsia="Times New Roman" w:cs="Times New Roman"/>
          <w:color w:val="000000"/>
          <w:shd w:val="clear" w:color="auto" w:fill="FFFFFF"/>
        </w:rPr>
        <w:t xml:space="preserve">xternalities are </w:t>
      </w:r>
      <w:r>
        <w:rPr>
          <w:rFonts w:eastAsia="Times New Roman" w:cs="Times New Roman"/>
          <w:color w:val="000000"/>
          <w:shd w:val="clear" w:color="auto" w:fill="FFFFFF"/>
        </w:rPr>
        <w:t xml:space="preserve">commonly </w:t>
      </w:r>
      <w:r w:rsidR="00CC33A3">
        <w:rPr>
          <w:rFonts w:eastAsia="Times New Roman" w:cs="Times New Roman"/>
          <w:color w:val="000000"/>
          <w:shd w:val="clear" w:color="auto" w:fill="FFFFFF"/>
        </w:rPr>
        <w:t xml:space="preserve">dealt with in policy through either taxation (to reduce negative externalities) or support (to encourage positive externalities). In the diagram below we represent a possible regime of taxes (in blue) and </w:t>
      </w:r>
      <w:r w:rsidR="00F36FD5">
        <w:rPr>
          <w:rFonts w:eastAsia="Times New Roman" w:cs="Times New Roman"/>
          <w:color w:val="000000"/>
          <w:shd w:val="clear" w:color="auto" w:fill="FFFFFF"/>
        </w:rPr>
        <w:t>support</w:t>
      </w:r>
      <w:r w:rsidR="00CC33A3">
        <w:rPr>
          <w:rFonts w:eastAsia="Times New Roman" w:cs="Times New Roman"/>
          <w:color w:val="000000"/>
          <w:shd w:val="clear" w:color="auto" w:fill="FFFFFF"/>
        </w:rPr>
        <w:t xml:space="preserve"> (in green) for different exter</w:t>
      </w:r>
      <w:r w:rsidR="008D1FE6">
        <w:rPr>
          <w:rFonts w:eastAsia="Times New Roman" w:cs="Times New Roman"/>
          <w:color w:val="000000"/>
          <w:shd w:val="clear" w:color="auto" w:fill="FFFFFF"/>
        </w:rPr>
        <w:t>nalities the whole food system.</w:t>
      </w:r>
    </w:p>
    <w:p w14:paraId="50EE5D14" w14:textId="77777777" w:rsidR="008D1FE6" w:rsidRDefault="008D1FE6" w:rsidP="00C14B6A">
      <w:pPr>
        <w:rPr>
          <w:rFonts w:eastAsia="Times New Roman" w:cs="Times New Roman"/>
          <w:color w:val="000000"/>
          <w:shd w:val="clear" w:color="auto" w:fill="FFFFFF"/>
        </w:rPr>
      </w:pPr>
    </w:p>
    <w:tbl>
      <w:tblPr>
        <w:tblStyle w:val="TableGrid"/>
        <w:tblW w:w="0" w:type="auto"/>
        <w:tblLook w:val="04A0" w:firstRow="1" w:lastRow="0" w:firstColumn="1" w:lastColumn="0" w:noHBand="0" w:noVBand="1"/>
      </w:tblPr>
      <w:tblGrid>
        <w:gridCol w:w="1190"/>
        <w:gridCol w:w="1048"/>
        <w:gridCol w:w="1058"/>
        <w:gridCol w:w="980"/>
        <w:gridCol w:w="1021"/>
        <w:gridCol w:w="1102"/>
        <w:gridCol w:w="1030"/>
        <w:gridCol w:w="1087"/>
      </w:tblGrid>
      <w:tr w:rsidR="00F36FD5" w:rsidRPr="00F36FD5" w14:paraId="06829EDA" w14:textId="77777777" w:rsidTr="007B7BB5">
        <w:tc>
          <w:tcPr>
            <w:tcW w:w="1190" w:type="dxa"/>
          </w:tcPr>
          <w:p w14:paraId="0BD5DC15" w14:textId="0BAC0485" w:rsidR="00F36FD5" w:rsidRPr="00F36FD5" w:rsidRDefault="00F36FD5" w:rsidP="00C14B6A">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Externality</w:t>
            </w:r>
          </w:p>
        </w:tc>
        <w:tc>
          <w:tcPr>
            <w:tcW w:w="1053" w:type="dxa"/>
          </w:tcPr>
          <w:p w14:paraId="2668BC1D" w14:textId="629F1315" w:rsidR="00F36FD5" w:rsidRPr="00F36FD5" w:rsidRDefault="00F36FD5" w:rsidP="00C14B6A">
            <w:pPr>
              <w:rPr>
                <w:rFonts w:eastAsia="Times New Roman" w:cs="Times New Roman"/>
                <w:color w:val="000000"/>
                <w:sz w:val="18"/>
                <w:szCs w:val="18"/>
                <w:shd w:val="clear" w:color="auto" w:fill="FFFFFF"/>
              </w:rPr>
            </w:pPr>
            <w:r w:rsidRPr="00F36FD5">
              <w:rPr>
                <w:rFonts w:eastAsia="Times New Roman" w:cs="Times New Roman"/>
                <w:color w:val="000000"/>
                <w:sz w:val="18"/>
                <w:szCs w:val="18"/>
                <w:shd w:val="clear" w:color="auto" w:fill="FFFFFF"/>
              </w:rPr>
              <w:t>Bio</w:t>
            </w:r>
            <w:r>
              <w:rPr>
                <w:rFonts w:eastAsia="Times New Roman" w:cs="Times New Roman"/>
                <w:color w:val="000000"/>
                <w:sz w:val="18"/>
                <w:szCs w:val="18"/>
                <w:shd w:val="clear" w:color="auto" w:fill="FFFFFF"/>
              </w:rPr>
              <w:t>-</w:t>
            </w:r>
            <w:r w:rsidRPr="00F36FD5">
              <w:rPr>
                <w:rFonts w:eastAsia="Times New Roman" w:cs="Times New Roman"/>
                <w:color w:val="000000"/>
                <w:sz w:val="18"/>
                <w:szCs w:val="18"/>
                <w:shd w:val="clear" w:color="auto" w:fill="FFFFFF"/>
              </w:rPr>
              <w:t>diversity</w:t>
            </w:r>
          </w:p>
        </w:tc>
        <w:tc>
          <w:tcPr>
            <w:tcW w:w="1060" w:type="dxa"/>
          </w:tcPr>
          <w:p w14:paraId="1B057E01" w14:textId="0F05B4F3" w:rsidR="00F36FD5" w:rsidRPr="00F36FD5" w:rsidRDefault="00F36FD5" w:rsidP="00C14B6A">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Chemical Pollution</w:t>
            </w:r>
          </w:p>
        </w:tc>
        <w:tc>
          <w:tcPr>
            <w:tcW w:w="1006" w:type="dxa"/>
          </w:tcPr>
          <w:p w14:paraId="3CBF9B32" w14:textId="68FB84D3" w:rsidR="00F36FD5" w:rsidRPr="00F36FD5" w:rsidRDefault="00F36FD5" w:rsidP="00C14B6A">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Food Miles</w:t>
            </w:r>
          </w:p>
        </w:tc>
        <w:tc>
          <w:tcPr>
            <w:tcW w:w="1041" w:type="dxa"/>
          </w:tcPr>
          <w:p w14:paraId="1DB194CC" w14:textId="13240011" w:rsidR="00F36FD5" w:rsidRPr="00F36FD5" w:rsidRDefault="00F36FD5" w:rsidP="008D1FE6">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 xml:space="preserve">Food </w:t>
            </w:r>
            <w:r w:rsidR="008D1FE6">
              <w:rPr>
                <w:rFonts w:eastAsia="Times New Roman" w:cs="Times New Roman"/>
                <w:color w:val="000000"/>
                <w:sz w:val="18"/>
                <w:szCs w:val="18"/>
                <w:shd w:val="clear" w:color="auto" w:fill="FFFFFF"/>
              </w:rPr>
              <w:t>Waste</w:t>
            </w:r>
          </w:p>
        </w:tc>
        <w:tc>
          <w:tcPr>
            <w:tcW w:w="1023" w:type="dxa"/>
          </w:tcPr>
          <w:p w14:paraId="40A62276" w14:textId="0D2E38BA" w:rsidR="00F36FD5" w:rsidRPr="00F36FD5" w:rsidRDefault="00F36FD5" w:rsidP="008D1FE6">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 xml:space="preserve">Food </w:t>
            </w:r>
            <w:r w:rsidR="008D1FE6">
              <w:rPr>
                <w:rFonts w:eastAsia="Times New Roman" w:cs="Times New Roman"/>
                <w:color w:val="000000"/>
                <w:sz w:val="18"/>
                <w:szCs w:val="18"/>
                <w:shd w:val="clear" w:color="auto" w:fill="FFFFFF"/>
              </w:rPr>
              <w:t>Education</w:t>
            </w:r>
          </w:p>
        </w:tc>
        <w:tc>
          <w:tcPr>
            <w:tcW w:w="1041" w:type="dxa"/>
          </w:tcPr>
          <w:p w14:paraId="4084E63A" w14:textId="0C0B87D9" w:rsidR="00F36FD5" w:rsidRPr="00F36FD5" w:rsidRDefault="00F36FD5" w:rsidP="00C14B6A">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Obesity</w:t>
            </w:r>
          </w:p>
        </w:tc>
        <w:tc>
          <w:tcPr>
            <w:tcW w:w="1102" w:type="dxa"/>
          </w:tcPr>
          <w:p w14:paraId="45812559" w14:textId="3D3A944F" w:rsidR="00F36FD5" w:rsidRPr="00F36FD5" w:rsidRDefault="00F36FD5" w:rsidP="008D1FE6">
            <w:pPr>
              <w:rPr>
                <w:rFonts w:eastAsia="Times New Roman" w:cs="Times New Roman"/>
                <w:color w:val="000000"/>
                <w:sz w:val="18"/>
                <w:szCs w:val="18"/>
                <w:shd w:val="clear" w:color="auto" w:fill="FFFFFF"/>
              </w:rPr>
            </w:pPr>
            <w:r>
              <w:rPr>
                <w:rFonts w:eastAsia="Times New Roman" w:cs="Times New Roman"/>
                <w:color w:val="000000"/>
                <w:sz w:val="18"/>
                <w:szCs w:val="18"/>
                <w:shd w:val="clear" w:color="auto" w:fill="FFFFFF"/>
              </w:rPr>
              <w:t xml:space="preserve">Food </w:t>
            </w:r>
            <w:r w:rsidR="008D1FE6">
              <w:rPr>
                <w:rFonts w:eastAsia="Times New Roman" w:cs="Times New Roman"/>
                <w:color w:val="000000"/>
                <w:sz w:val="18"/>
                <w:szCs w:val="18"/>
                <w:shd w:val="clear" w:color="auto" w:fill="FFFFFF"/>
              </w:rPr>
              <w:t>Poverty</w:t>
            </w:r>
          </w:p>
        </w:tc>
      </w:tr>
      <w:tr w:rsidR="007B7BB5" w14:paraId="7D7A992D" w14:textId="77777777" w:rsidTr="008D1FE6">
        <w:tc>
          <w:tcPr>
            <w:tcW w:w="1190" w:type="dxa"/>
          </w:tcPr>
          <w:p w14:paraId="61360767" w14:textId="70C6F73F" w:rsidR="007B7BB5" w:rsidRDefault="007B7BB5" w:rsidP="00C14B6A">
            <w:pPr>
              <w:rPr>
                <w:rFonts w:eastAsia="Times New Roman" w:cs="Times New Roman"/>
                <w:color w:val="000000"/>
                <w:shd w:val="clear" w:color="auto" w:fill="FFFFFF"/>
              </w:rPr>
            </w:pPr>
            <w:r>
              <w:rPr>
                <w:rFonts w:eastAsia="Times New Roman" w:cs="Times New Roman"/>
                <w:color w:val="000000"/>
                <w:shd w:val="clear" w:color="auto" w:fill="FFFFFF"/>
              </w:rPr>
              <w:t>Tax</w:t>
            </w:r>
          </w:p>
          <w:p w14:paraId="2DDF646D" w14:textId="77777777" w:rsidR="007B7BB5" w:rsidRDefault="007B7BB5" w:rsidP="00C14B6A">
            <w:pPr>
              <w:rPr>
                <w:rFonts w:eastAsia="Times New Roman" w:cs="Times New Roman"/>
                <w:color w:val="000000"/>
                <w:shd w:val="clear" w:color="auto" w:fill="FFFFFF"/>
              </w:rPr>
            </w:pPr>
          </w:p>
        </w:tc>
        <w:tc>
          <w:tcPr>
            <w:tcW w:w="1053" w:type="dxa"/>
            <w:shd w:val="clear" w:color="auto" w:fill="C6D9F1" w:themeFill="text2" w:themeFillTint="33"/>
          </w:tcPr>
          <w:p w14:paraId="6E1C62B1" w14:textId="77777777" w:rsidR="007B7BB5" w:rsidRDefault="007B7BB5" w:rsidP="00C14B6A">
            <w:pPr>
              <w:rPr>
                <w:rFonts w:eastAsia="Times New Roman" w:cs="Times New Roman"/>
                <w:color w:val="000000"/>
                <w:shd w:val="clear" w:color="auto" w:fill="FFFFFF"/>
              </w:rPr>
            </w:pPr>
          </w:p>
        </w:tc>
        <w:tc>
          <w:tcPr>
            <w:tcW w:w="1060" w:type="dxa"/>
            <w:shd w:val="clear" w:color="auto" w:fill="548DD4" w:themeFill="text2" w:themeFillTint="99"/>
          </w:tcPr>
          <w:p w14:paraId="520309E0" w14:textId="77777777" w:rsidR="007B7BB5" w:rsidRDefault="007B7BB5" w:rsidP="00C14B6A">
            <w:pPr>
              <w:rPr>
                <w:rFonts w:eastAsia="Times New Roman" w:cs="Times New Roman"/>
                <w:color w:val="000000"/>
                <w:shd w:val="clear" w:color="auto" w:fill="FFFFFF"/>
              </w:rPr>
            </w:pPr>
          </w:p>
        </w:tc>
        <w:tc>
          <w:tcPr>
            <w:tcW w:w="1006" w:type="dxa"/>
            <w:shd w:val="clear" w:color="auto" w:fill="8DB3E2" w:themeFill="text2" w:themeFillTint="66"/>
          </w:tcPr>
          <w:p w14:paraId="599EADAA" w14:textId="77777777" w:rsidR="007B7BB5" w:rsidRDefault="007B7BB5" w:rsidP="00C14B6A">
            <w:pPr>
              <w:rPr>
                <w:rFonts w:eastAsia="Times New Roman" w:cs="Times New Roman"/>
                <w:color w:val="000000"/>
                <w:shd w:val="clear" w:color="auto" w:fill="FFFFFF"/>
              </w:rPr>
            </w:pPr>
          </w:p>
        </w:tc>
        <w:tc>
          <w:tcPr>
            <w:tcW w:w="1041" w:type="dxa"/>
            <w:shd w:val="clear" w:color="auto" w:fill="548DD4" w:themeFill="text2" w:themeFillTint="99"/>
          </w:tcPr>
          <w:p w14:paraId="3779440D" w14:textId="77777777" w:rsidR="007B7BB5" w:rsidRDefault="007B7BB5" w:rsidP="00C14B6A">
            <w:pPr>
              <w:rPr>
                <w:rFonts w:eastAsia="Times New Roman" w:cs="Times New Roman"/>
                <w:color w:val="000000"/>
                <w:shd w:val="clear" w:color="auto" w:fill="FFFFFF"/>
              </w:rPr>
            </w:pPr>
          </w:p>
        </w:tc>
        <w:tc>
          <w:tcPr>
            <w:tcW w:w="1023" w:type="dxa"/>
            <w:shd w:val="clear" w:color="auto" w:fill="auto"/>
          </w:tcPr>
          <w:p w14:paraId="423472C6" w14:textId="77777777" w:rsidR="007B7BB5" w:rsidRDefault="007B7BB5" w:rsidP="00C14B6A">
            <w:pPr>
              <w:rPr>
                <w:rFonts w:eastAsia="Times New Roman" w:cs="Times New Roman"/>
                <w:color w:val="000000"/>
                <w:shd w:val="clear" w:color="auto" w:fill="FFFFFF"/>
              </w:rPr>
            </w:pPr>
          </w:p>
        </w:tc>
        <w:tc>
          <w:tcPr>
            <w:tcW w:w="1041" w:type="dxa"/>
            <w:shd w:val="clear" w:color="auto" w:fill="8DB3E2" w:themeFill="text2" w:themeFillTint="66"/>
          </w:tcPr>
          <w:p w14:paraId="7123FDC7" w14:textId="77777777" w:rsidR="007B7BB5" w:rsidRDefault="007B7BB5" w:rsidP="00C14B6A">
            <w:pPr>
              <w:rPr>
                <w:rFonts w:eastAsia="Times New Roman" w:cs="Times New Roman"/>
                <w:color w:val="000000"/>
                <w:shd w:val="clear" w:color="auto" w:fill="FFFFFF"/>
              </w:rPr>
            </w:pPr>
          </w:p>
        </w:tc>
        <w:tc>
          <w:tcPr>
            <w:tcW w:w="1102" w:type="dxa"/>
          </w:tcPr>
          <w:p w14:paraId="0CCBB20F" w14:textId="77777777" w:rsidR="007B7BB5" w:rsidRDefault="007B7BB5" w:rsidP="00C14B6A">
            <w:pPr>
              <w:rPr>
                <w:rFonts w:eastAsia="Times New Roman" w:cs="Times New Roman"/>
                <w:color w:val="000000"/>
                <w:shd w:val="clear" w:color="auto" w:fill="FFFFFF"/>
              </w:rPr>
            </w:pPr>
          </w:p>
        </w:tc>
      </w:tr>
      <w:tr w:rsidR="007B7BB5" w14:paraId="1538D709" w14:textId="77777777" w:rsidTr="007B7BB5">
        <w:tc>
          <w:tcPr>
            <w:tcW w:w="1190" w:type="dxa"/>
          </w:tcPr>
          <w:p w14:paraId="1C081D41" w14:textId="277BA210" w:rsidR="007B7BB5" w:rsidRDefault="007B7BB5" w:rsidP="00C14B6A">
            <w:pPr>
              <w:rPr>
                <w:rFonts w:eastAsia="Times New Roman" w:cs="Times New Roman"/>
                <w:color w:val="000000"/>
                <w:shd w:val="clear" w:color="auto" w:fill="FFFFFF"/>
              </w:rPr>
            </w:pPr>
            <w:r>
              <w:rPr>
                <w:rFonts w:eastAsia="Times New Roman" w:cs="Times New Roman"/>
                <w:color w:val="000000"/>
                <w:shd w:val="clear" w:color="auto" w:fill="FFFFFF"/>
              </w:rPr>
              <w:t>Support</w:t>
            </w:r>
          </w:p>
          <w:p w14:paraId="742ABCA0" w14:textId="77777777" w:rsidR="007B7BB5" w:rsidRDefault="007B7BB5" w:rsidP="00C14B6A">
            <w:pPr>
              <w:rPr>
                <w:rFonts w:eastAsia="Times New Roman" w:cs="Times New Roman"/>
                <w:color w:val="000000"/>
                <w:shd w:val="clear" w:color="auto" w:fill="FFFFFF"/>
              </w:rPr>
            </w:pPr>
          </w:p>
        </w:tc>
        <w:tc>
          <w:tcPr>
            <w:tcW w:w="1053" w:type="dxa"/>
            <w:shd w:val="clear" w:color="auto" w:fill="76923C" w:themeFill="accent3" w:themeFillShade="BF"/>
          </w:tcPr>
          <w:p w14:paraId="26933CBD" w14:textId="77777777" w:rsidR="007B7BB5" w:rsidRDefault="007B7BB5" w:rsidP="00C14B6A">
            <w:pPr>
              <w:rPr>
                <w:rFonts w:eastAsia="Times New Roman" w:cs="Times New Roman"/>
                <w:color w:val="000000"/>
                <w:shd w:val="clear" w:color="auto" w:fill="FFFFFF"/>
              </w:rPr>
            </w:pPr>
          </w:p>
        </w:tc>
        <w:tc>
          <w:tcPr>
            <w:tcW w:w="1060" w:type="dxa"/>
          </w:tcPr>
          <w:p w14:paraId="798DE6D0" w14:textId="77777777" w:rsidR="007B7BB5" w:rsidRDefault="007B7BB5" w:rsidP="00C14B6A">
            <w:pPr>
              <w:rPr>
                <w:rFonts w:eastAsia="Times New Roman" w:cs="Times New Roman"/>
                <w:color w:val="000000"/>
                <w:shd w:val="clear" w:color="auto" w:fill="FFFFFF"/>
              </w:rPr>
            </w:pPr>
          </w:p>
        </w:tc>
        <w:tc>
          <w:tcPr>
            <w:tcW w:w="1006" w:type="dxa"/>
            <w:shd w:val="clear" w:color="auto" w:fill="D6E3BC" w:themeFill="accent3" w:themeFillTint="66"/>
          </w:tcPr>
          <w:p w14:paraId="53DCB6B1" w14:textId="77777777" w:rsidR="007B7BB5" w:rsidRDefault="007B7BB5" w:rsidP="00C14B6A">
            <w:pPr>
              <w:rPr>
                <w:rFonts w:eastAsia="Times New Roman" w:cs="Times New Roman"/>
                <w:color w:val="000000"/>
                <w:shd w:val="clear" w:color="auto" w:fill="FFFFFF"/>
              </w:rPr>
            </w:pPr>
          </w:p>
        </w:tc>
        <w:tc>
          <w:tcPr>
            <w:tcW w:w="1041" w:type="dxa"/>
            <w:shd w:val="clear" w:color="auto" w:fill="76923C" w:themeFill="accent3" w:themeFillShade="BF"/>
          </w:tcPr>
          <w:p w14:paraId="55598B54" w14:textId="77777777" w:rsidR="007B7BB5" w:rsidRDefault="007B7BB5" w:rsidP="00C14B6A">
            <w:pPr>
              <w:rPr>
                <w:rFonts w:eastAsia="Times New Roman" w:cs="Times New Roman"/>
                <w:color w:val="000000"/>
                <w:shd w:val="clear" w:color="auto" w:fill="FFFFFF"/>
              </w:rPr>
            </w:pPr>
          </w:p>
        </w:tc>
        <w:tc>
          <w:tcPr>
            <w:tcW w:w="1023" w:type="dxa"/>
            <w:shd w:val="clear" w:color="auto" w:fill="76923C" w:themeFill="accent3" w:themeFillShade="BF"/>
          </w:tcPr>
          <w:p w14:paraId="6742E5FD" w14:textId="77777777" w:rsidR="007B7BB5" w:rsidRDefault="007B7BB5" w:rsidP="00C14B6A">
            <w:pPr>
              <w:rPr>
                <w:rFonts w:eastAsia="Times New Roman" w:cs="Times New Roman"/>
                <w:color w:val="000000"/>
                <w:shd w:val="clear" w:color="auto" w:fill="FFFFFF"/>
              </w:rPr>
            </w:pPr>
          </w:p>
        </w:tc>
        <w:tc>
          <w:tcPr>
            <w:tcW w:w="1041" w:type="dxa"/>
            <w:shd w:val="clear" w:color="auto" w:fill="C2D69B" w:themeFill="accent3" w:themeFillTint="99"/>
          </w:tcPr>
          <w:p w14:paraId="0C7DF7E6" w14:textId="77777777" w:rsidR="007B7BB5" w:rsidRDefault="007B7BB5" w:rsidP="00C14B6A">
            <w:pPr>
              <w:rPr>
                <w:rFonts w:eastAsia="Times New Roman" w:cs="Times New Roman"/>
                <w:color w:val="000000"/>
                <w:shd w:val="clear" w:color="auto" w:fill="FFFFFF"/>
              </w:rPr>
            </w:pPr>
          </w:p>
        </w:tc>
        <w:tc>
          <w:tcPr>
            <w:tcW w:w="1102" w:type="dxa"/>
            <w:shd w:val="clear" w:color="auto" w:fill="76923C" w:themeFill="accent3" w:themeFillShade="BF"/>
          </w:tcPr>
          <w:p w14:paraId="579BF5FD" w14:textId="77777777" w:rsidR="007B7BB5" w:rsidRDefault="007B7BB5" w:rsidP="00C14B6A">
            <w:pPr>
              <w:rPr>
                <w:rFonts w:eastAsia="Times New Roman" w:cs="Times New Roman"/>
                <w:color w:val="000000"/>
                <w:shd w:val="clear" w:color="auto" w:fill="FFFFFF"/>
              </w:rPr>
            </w:pPr>
          </w:p>
        </w:tc>
      </w:tr>
    </w:tbl>
    <w:p w14:paraId="3C01B87B" w14:textId="77777777" w:rsidR="00F36FD5" w:rsidRDefault="00F36FD5" w:rsidP="00C14B6A">
      <w:pPr>
        <w:rPr>
          <w:rFonts w:eastAsia="Times New Roman" w:cs="Times New Roman"/>
          <w:color w:val="000000"/>
          <w:shd w:val="clear" w:color="auto" w:fill="FFFFFF"/>
        </w:rPr>
      </w:pPr>
    </w:p>
    <w:p w14:paraId="1EE65C40" w14:textId="734982A7" w:rsidR="00F36FD5" w:rsidRDefault="000456F7" w:rsidP="00C14B6A">
      <w:pPr>
        <w:rPr>
          <w:rFonts w:eastAsia="Times New Roman" w:cs="Times New Roman"/>
          <w:color w:val="000000"/>
          <w:shd w:val="clear" w:color="auto" w:fill="FFFFFF"/>
        </w:rPr>
      </w:pPr>
      <w:r>
        <w:rPr>
          <w:rFonts w:eastAsia="Times New Roman" w:cs="Times New Roman"/>
          <w:color w:val="000000"/>
          <w:shd w:val="clear" w:color="auto" w:fill="FFFFFF"/>
        </w:rPr>
        <w:t xml:space="preserve">It is quite possible that this approach to accommodating externalities of the whole food system into policy </w:t>
      </w:r>
      <w:r w:rsidR="007B7BB5">
        <w:rPr>
          <w:rFonts w:eastAsia="Times New Roman" w:cs="Times New Roman"/>
          <w:color w:val="000000"/>
          <w:shd w:val="clear" w:color="auto" w:fill="FFFFFF"/>
        </w:rPr>
        <w:t>could be cost neutral (additional support is co</w:t>
      </w:r>
      <w:r w:rsidR="008729AC">
        <w:rPr>
          <w:rFonts w:eastAsia="Times New Roman" w:cs="Times New Roman"/>
          <w:color w:val="000000"/>
          <w:shd w:val="clear" w:color="auto" w:fill="FFFFFF"/>
        </w:rPr>
        <w:t>vered by additional taxation) but</w:t>
      </w:r>
      <w:r w:rsidR="007B7BB5">
        <w:rPr>
          <w:rFonts w:eastAsia="Times New Roman" w:cs="Times New Roman"/>
          <w:color w:val="000000"/>
          <w:shd w:val="clear" w:color="auto" w:fill="FFFFFF"/>
        </w:rPr>
        <w:t xml:space="preserve"> certainly is likely to have a net cost much lower than the current £5 billion of farm support. </w:t>
      </w:r>
    </w:p>
    <w:p w14:paraId="3B61906F" w14:textId="77777777" w:rsidR="00CC33A3" w:rsidRPr="00C14B6A" w:rsidRDefault="00CC33A3" w:rsidP="00C14B6A">
      <w:pPr>
        <w:rPr>
          <w:rFonts w:eastAsia="Times New Roman" w:cs="Times New Roman"/>
          <w:color w:val="000000"/>
          <w:shd w:val="clear" w:color="auto" w:fill="FFFFFF"/>
        </w:rPr>
      </w:pPr>
    </w:p>
    <w:p w14:paraId="24AB1A7C" w14:textId="6303EEA8" w:rsidR="00C14B6A" w:rsidRPr="00C14B6A" w:rsidRDefault="008729AC" w:rsidP="00C14B6A">
      <w:pPr>
        <w:rPr>
          <w:rFonts w:eastAsia="Times New Roman" w:cs="Times New Roman"/>
          <w:color w:val="FF0000"/>
          <w:shd w:val="clear" w:color="auto" w:fill="FFFFFF"/>
        </w:rPr>
      </w:pPr>
      <w:r>
        <w:rPr>
          <w:rFonts w:eastAsia="Times New Roman" w:cs="Times New Roman"/>
          <w:color w:val="FF0000"/>
          <w:shd w:val="clear" w:color="auto" w:fill="FFFFFF"/>
        </w:rPr>
        <w:t>Measures t</w:t>
      </w:r>
      <w:r w:rsidR="00C14B6A" w:rsidRPr="00C14B6A">
        <w:rPr>
          <w:rFonts w:eastAsia="Times New Roman" w:cs="Times New Roman"/>
          <w:color w:val="FF0000"/>
          <w:shd w:val="clear" w:color="auto" w:fill="FFFFFF"/>
        </w:rPr>
        <w:t xml:space="preserve">o ensure the security of our food supply, </w:t>
      </w:r>
    </w:p>
    <w:p w14:paraId="5323DF89" w14:textId="77777777" w:rsidR="00C14B6A" w:rsidRDefault="00C14B6A" w:rsidP="00C14B6A">
      <w:pPr>
        <w:rPr>
          <w:rFonts w:eastAsia="Times New Roman" w:cs="Times New Roman"/>
          <w:color w:val="000000"/>
          <w:shd w:val="clear" w:color="auto" w:fill="FFFFFF"/>
        </w:rPr>
      </w:pPr>
    </w:p>
    <w:p w14:paraId="58F82BC5" w14:textId="4ECD74BA" w:rsidR="008729AC" w:rsidRDefault="008729AC" w:rsidP="00C14B6A">
      <w:pPr>
        <w:rPr>
          <w:rFonts w:eastAsia="Times New Roman" w:cs="Times New Roman"/>
          <w:color w:val="000000"/>
          <w:shd w:val="clear" w:color="auto" w:fill="FFFFFF"/>
        </w:rPr>
      </w:pPr>
      <w:r>
        <w:rPr>
          <w:rFonts w:eastAsia="Times New Roman" w:cs="Times New Roman"/>
          <w:color w:val="000000"/>
          <w:shd w:val="clear" w:color="auto" w:fill="FFFFFF"/>
        </w:rPr>
        <w:t xml:space="preserve">A number of these address the problems of current agricultural policy noted above. Some improvements in food security are likely to accrue, however, simply by moving away form current forms of support. </w:t>
      </w:r>
    </w:p>
    <w:p w14:paraId="43B40D77" w14:textId="77777777" w:rsidR="008729AC" w:rsidRDefault="008729AC" w:rsidP="00C14B6A">
      <w:pPr>
        <w:rPr>
          <w:rFonts w:eastAsia="Times New Roman" w:cs="Times New Roman"/>
          <w:color w:val="000000"/>
          <w:shd w:val="clear" w:color="auto" w:fill="FFFFFF"/>
        </w:rPr>
      </w:pPr>
    </w:p>
    <w:p w14:paraId="28E7A02A" w14:textId="43290D0E" w:rsidR="008729AC" w:rsidRDefault="00031DD8"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Food, in policy, should be re-characterised as a basic societal need and not </w:t>
      </w:r>
      <w:r w:rsidR="003E3743">
        <w:rPr>
          <w:rFonts w:eastAsia="Times New Roman" w:cs="Times New Roman"/>
          <w:color w:val="000000"/>
          <w:shd w:val="clear" w:color="auto" w:fill="FFFFFF"/>
        </w:rPr>
        <w:t xml:space="preserve">just </w:t>
      </w:r>
      <w:r>
        <w:rPr>
          <w:rFonts w:eastAsia="Times New Roman" w:cs="Times New Roman"/>
          <w:color w:val="000000"/>
          <w:shd w:val="clear" w:color="auto" w:fill="FFFFFF"/>
        </w:rPr>
        <w:t>as a market</w:t>
      </w:r>
      <w:r w:rsidR="003E3743">
        <w:rPr>
          <w:rFonts w:eastAsia="Times New Roman" w:cs="Times New Roman"/>
          <w:color w:val="000000"/>
          <w:shd w:val="clear" w:color="auto" w:fill="FFFFFF"/>
        </w:rPr>
        <w:t xml:space="preserve"> commodity.</w:t>
      </w:r>
    </w:p>
    <w:p w14:paraId="6CA7A4DF" w14:textId="77777777" w:rsidR="003E3743" w:rsidRDefault="003E3743"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All stages of the food system (see below) should be embraced in policy. </w:t>
      </w:r>
    </w:p>
    <w:p w14:paraId="2E181047" w14:textId="77777777" w:rsidR="003E3743" w:rsidRDefault="003E3743" w:rsidP="003E3743">
      <w:pPr>
        <w:rPr>
          <w:rFonts w:eastAsia="Times New Roman" w:cs="Times New Roman"/>
          <w:color w:val="000000"/>
          <w:shd w:val="clear" w:color="auto" w:fill="FFFFFF"/>
        </w:rPr>
      </w:pPr>
    </w:p>
    <w:p w14:paraId="6C352FA9" w14:textId="239D1845" w:rsidR="003E3743" w:rsidRDefault="003E3743" w:rsidP="003E3743">
      <w:pPr>
        <w:rPr>
          <w:rFonts w:eastAsia="Times New Roman" w:cs="Times New Roman"/>
          <w:color w:val="000000"/>
          <w:shd w:val="clear" w:color="auto" w:fill="FFFFFF"/>
        </w:rPr>
      </w:pPr>
      <w:r>
        <w:rPr>
          <w:noProof/>
          <w:color w:val="FF0000"/>
          <w:lang w:val="en-US"/>
        </w:rPr>
        <w:drawing>
          <wp:inline distT="0" distB="0" distL="0" distR="0" wp14:anchorId="5CB8D8CB" wp14:editId="4BC269D6">
            <wp:extent cx="5710162" cy="2778282"/>
            <wp:effectExtent l="0" t="0" r="5080" b="0"/>
            <wp:docPr id="5" name="Picture 5" descr="Macintosh HD:Users:nigelcurry:Desktop:Screen Shot 2016-03-10 at 10.1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gelcurry:Desktop:Screen Shot 2016-03-10 at 10.14.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0683" cy="2778536"/>
                    </a:xfrm>
                    <a:prstGeom prst="rect">
                      <a:avLst/>
                    </a:prstGeom>
                    <a:noFill/>
                    <a:ln>
                      <a:noFill/>
                    </a:ln>
                  </pic:spPr>
                </pic:pic>
              </a:graphicData>
            </a:graphic>
          </wp:inline>
        </w:drawing>
      </w:r>
    </w:p>
    <w:p w14:paraId="2441B766" w14:textId="7C6323AF" w:rsidR="003E3743" w:rsidRPr="003E3743" w:rsidRDefault="003E3743" w:rsidP="003E3743">
      <w:pPr>
        <w:rPr>
          <w:rFonts w:eastAsia="Times New Roman" w:cs="Times New Roman"/>
          <w:color w:val="000000"/>
          <w:shd w:val="clear" w:color="auto" w:fill="FFFFFF"/>
        </w:rPr>
      </w:pPr>
    </w:p>
    <w:p w14:paraId="37B7BFD7" w14:textId="071EF1FD" w:rsidR="00031DD8" w:rsidRDefault="00031DD8"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Considered in its social (rather than just is market) context, </w:t>
      </w:r>
      <w:r w:rsidR="003E3743">
        <w:rPr>
          <w:rFonts w:eastAsia="Times New Roman" w:cs="Times New Roman"/>
          <w:color w:val="000000"/>
          <w:shd w:val="clear" w:color="auto" w:fill="FFFFFF"/>
        </w:rPr>
        <w:t>food has multiple benefits. M</w:t>
      </w:r>
      <w:r>
        <w:rPr>
          <w:rFonts w:eastAsia="Times New Roman" w:cs="Times New Roman"/>
          <w:color w:val="000000"/>
          <w:shd w:val="clear" w:color="auto" w:fill="FFFFFF"/>
        </w:rPr>
        <w:t>a</w:t>
      </w:r>
      <w:r w:rsidR="003E3743">
        <w:rPr>
          <w:rFonts w:eastAsia="Times New Roman" w:cs="Times New Roman"/>
          <w:color w:val="000000"/>
          <w:shd w:val="clear" w:color="auto" w:fill="FFFFFF"/>
        </w:rPr>
        <w:t>n</w:t>
      </w:r>
      <w:r>
        <w:rPr>
          <w:rFonts w:eastAsia="Times New Roman" w:cs="Times New Roman"/>
          <w:color w:val="000000"/>
          <w:shd w:val="clear" w:color="auto" w:fill="FFFFFF"/>
        </w:rPr>
        <w:t>y growing projects, for example, tackle physical and m</w:t>
      </w:r>
      <w:r w:rsidR="003E3743">
        <w:rPr>
          <w:rFonts w:eastAsia="Times New Roman" w:cs="Times New Roman"/>
          <w:color w:val="000000"/>
          <w:shd w:val="clear" w:color="auto" w:fill="FFFFFF"/>
        </w:rPr>
        <w:t>ental heath and drug addition. L</w:t>
      </w:r>
      <w:r>
        <w:rPr>
          <w:rFonts w:eastAsia="Times New Roman" w:cs="Times New Roman"/>
          <w:color w:val="000000"/>
          <w:shd w:val="clear" w:color="auto" w:fill="FFFFFF"/>
        </w:rPr>
        <w:t>ocal processing can create jobs</w:t>
      </w:r>
      <w:r w:rsidR="003E3743">
        <w:rPr>
          <w:rFonts w:eastAsia="Times New Roman" w:cs="Times New Roman"/>
          <w:color w:val="000000"/>
          <w:shd w:val="clear" w:color="auto" w:fill="FFFFFF"/>
        </w:rPr>
        <w:t xml:space="preserve"> and positive local multipliers. ‘S</w:t>
      </w:r>
      <w:r>
        <w:rPr>
          <w:rFonts w:eastAsia="Times New Roman" w:cs="Times New Roman"/>
          <w:color w:val="000000"/>
          <w:shd w:val="clear" w:color="auto" w:fill="FFFFFF"/>
        </w:rPr>
        <w:t>ocial’ consumption can create community cohesion</w:t>
      </w:r>
      <w:r w:rsidR="003E3743">
        <w:rPr>
          <w:rFonts w:eastAsia="Times New Roman" w:cs="Times New Roman"/>
          <w:color w:val="000000"/>
          <w:shd w:val="clear" w:color="auto" w:fill="FFFFFF"/>
        </w:rPr>
        <w:t>. E</w:t>
      </w:r>
      <w:r>
        <w:rPr>
          <w:rFonts w:eastAsia="Times New Roman" w:cs="Times New Roman"/>
          <w:color w:val="000000"/>
          <w:shd w:val="clear" w:color="auto" w:fill="FFFFFF"/>
        </w:rPr>
        <w:t xml:space="preserve">ducation around food </w:t>
      </w:r>
      <w:r w:rsidR="003E3743">
        <w:rPr>
          <w:rFonts w:eastAsia="Times New Roman" w:cs="Times New Roman"/>
          <w:color w:val="000000"/>
          <w:shd w:val="clear" w:color="auto" w:fill="FFFFFF"/>
        </w:rPr>
        <w:t xml:space="preserve">can improve cooking skills and lifestyle changes and can tackle obesity). And all aspects of the food system can be used to tackle environmental issues (reducing food waste and food miles). All of these multiple benefits should be embraced in policy.  </w:t>
      </w:r>
      <w:r>
        <w:rPr>
          <w:rFonts w:eastAsia="Times New Roman" w:cs="Times New Roman"/>
          <w:color w:val="000000"/>
          <w:shd w:val="clear" w:color="auto" w:fill="FFFFFF"/>
        </w:rPr>
        <w:t xml:space="preserve"> </w:t>
      </w:r>
    </w:p>
    <w:p w14:paraId="4936352D" w14:textId="3060CC1D" w:rsidR="003E3743" w:rsidRDefault="003E3743"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The base of production should be broadened. Community production, urban farming, warehouse and underground production, aquaponics and hydroponics all will add to food output, but importantly also will engage a broader base of the population,</w:t>
      </w:r>
      <w:r w:rsidR="009D077C">
        <w:rPr>
          <w:rFonts w:eastAsia="Times New Roman" w:cs="Times New Roman"/>
          <w:color w:val="000000"/>
          <w:shd w:val="clear" w:color="auto" w:fill="FFFFFF"/>
        </w:rPr>
        <w:t xml:space="preserve"> reconnecting people with food and educating people ab</w:t>
      </w:r>
      <w:r w:rsidR="00B958D9">
        <w:rPr>
          <w:rFonts w:eastAsia="Times New Roman" w:cs="Times New Roman"/>
          <w:color w:val="000000"/>
          <w:shd w:val="clear" w:color="auto" w:fill="FFFFFF"/>
        </w:rPr>
        <w:t>o</w:t>
      </w:r>
      <w:r w:rsidR="009D077C">
        <w:rPr>
          <w:rFonts w:eastAsia="Times New Roman" w:cs="Times New Roman"/>
          <w:color w:val="000000"/>
          <w:shd w:val="clear" w:color="auto" w:fill="FFFFFF"/>
        </w:rPr>
        <w:t>ut food. Output per unit of input has been shown to be much higher in community agriculture than in commercial agriculture.</w:t>
      </w:r>
      <w:r w:rsidR="00B958D9">
        <w:rPr>
          <w:rFonts w:eastAsia="Times New Roman" w:cs="Times New Roman"/>
          <w:color w:val="000000"/>
          <w:shd w:val="clear" w:color="auto" w:fill="FFFFFF"/>
        </w:rPr>
        <w:t xml:space="preserve"> </w:t>
      </w:r>
    </w:p>
    <w:p w14:paraId="77462FD6" w14:textId="2209C594" w:rsidR="009D077C" w:rsidRDefault="009D077C"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Introduce food growing requirements into planning</w:t>
      </w:r>
      <w:r w:rsidR="00B958D9">
        <w:rPr>
          <w:rFonts w:eastAsia="Times New Roman" w:cs="Times New Roman"/>
          <w:color w:val="000000"/>
          <w:shd w:val="clear" w:color="auto" w:fill="FFFFFF"/>
        </w:rPr>
        <w:t xml:space="preserve"> conditions for ne</w:t>
      </w:r>
      <w:r>
        <w:rPr>
          <w:rFonts w:eastAsia="Times New Roman" w:cs="Times New Roman"/>
          <w:color w:val="000000"/>
          <w:shd w:val="clear" w:color="auto" w:fill="FFFFFF"/>
        </w:rPr>
        <w:t>w housing. This has been show to be successful in a number of paces (for example Brighton).</w:t>
      </w:r>
    </w:p>
    <w:p w14:paraId="684BA0D7" w14:textId="2AF05EB9" w:rsidR="009D077C" w:rsidRPr="003342E9" w:rsidRDefault="009D077C" w:rsidP="009D077C">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Educate about all aspects of food consumption as an essential part of the food curriculum. Understanding seasonality in consumption, for example, offers the potential to change consumption patterns drastically. </w:t>
      </w:r>
    </w:p>
    <w:p w14:paraId="11714413" w14:textId="5B840B84" w:rsidR="003342E9" w:rsidRPr="009D077C" w:rsidRDefault="009D077C" w:rsidP="009D077C">
      <w:pPr>
        <w:pStyle w:val="ListParagraph"/>
        <w:numPr>
          <w:ilvl w:val="0"/>
          <w:numId w:val="1"/>
        </w:numPr>
        <w:rPr>
          <w:rFonts w:eastAsia="Times New Roman" w:cs="Times New Roman"/>
          <w:color w:val="000000"/>
          <w:shd w:val="clear" w:color="auto" w:fill="FFFFFF"/>
        </w:rPr>
      </w:pPr>
      <w:r w:rsidRPr="009D077C">
        <w:rPr>
          <w:rFonts w:eastAsia="Times New Roman" w:cs="Times New Roman"/>
          <w:color w:val="000000"/>
          <w:shd w:val="clear" w:color="auto" w:fill="FFFFFF"/>
        </w:rPr>
        <w:t xml:space="preserve">Give policy priority to </w:t>
      </w:r>
      <w:r w:rsidR="003342E9" w:rsidRPr="009D077C">
        <w:rPr>
          <w:rFonts w:eastAsia="Times New Roman" w:cs="Times New Roman"/>
          <w:color w:val="000000"/>
          <w:shd w:val="clear" w:color="auto" w:fill="FFFFFF"/>
        </w:rPr>
        <w:t>food production for home con</w:t>
      </w:r>
      <w:r>
        <w:rPr>
          <w:rFonts w:eastAsia="Times New Roman" w:cs="Times New Roman"/>
          <w:color w:val="000000"/>
          <w:shd w:val="clear" w:color="auto" w:fill="FFFFFF"/>
        </w:rPr>
        <w:t xml:space="preserve">sumption rather than for export, to reduce food miles and to be more self-sufficient. </w:t>
      </w:r>
    </w:p>
    <w:p w14:paraId="414D5462" w14:textId="7C3DFA22" w:rsidR="003342E9" w:rsidRDefault="003342E9"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Drastically reduce the production of animal agriculture and move towards plant-based production</w:t>
      </w:r>
      <w:r w:rsidR="009D077C">
        <w:rPr>
          <w:rFonts w:eastAsia="Times New Roman" w:cs="Times New Roman"/>
          <w:color w:val="000000"/>
          <w:shd w:val="clear" w:color="auto" w:fill="FFFFFF"/>
        </w:rPr>
        <w:t>. This is a much more efficient (and much les wasteful) means of feeding the nation.</w:t>
      </w:r>
    </w:p>
    <w:p w14:paraId="5D2F5789" w14:textId="3A887DA3" w:rsidR="009D077C" w:rsidRDefault="009D077C"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Where animal agriculture is tolerated, priority should be give to small mixed farms with balanced local ecosystems. </w:t>
      </w:r>
    </w:p>
    <w:p w14:paraId="4EAB1861" w14:textId="48D8ED19" w:rsidR="003342E9" w:rsidRDefault="003342E9" w:rsidP="003342E9">
      <w:pPr>
        <w:pStyle w:val="ListParagraph"/>
        <w:numPr>
          <w:ilvl w:val="0"/>
          <w:numId w:val="1"/>
        </w:numPr>
        <w:rPr>
          <w:rFonts w:eastAsia="Times New Roman" w:cs="Times New Roman"/>
          <w:color w:val="000000"/>
          <w:shd w:val="clear" w:color="auto" w:fill="FFFFFF"/>
        </w:rPr>
      </w:pPr>
      <w:r>
        <w:rPr>
          <w:rFonts w:eastAsia="Times New Roman" w:cs="Times New Roman"/>
          <w:color w:val="000000"/>
          <w:shd w:val="clear" w:color="auto" w:fill="FFFFFF"/>
        </w:rPr>
        <w:t xml:space="preserve">Where plant-based production is not possible because of the poor quality of land, </w:t>
      </w:r>
      <w:r w:rsidR="00B958D9">
        <w:rPr>
          <w:rFonts w:eastAsia="Times New Roman" w:cs="Times New Roman"/>
          <w:color w:val="000000"/>
          <w:shd w:val="clear" w:color="auto" w:fill="FFFFFF"/>
        </w:rPr>
        <w:t xml:space="preserve">the land should be turned over to </w:t>
      </w:r>
      <w:r>
        <w:rPr>
          <w:rFonts w:eastAsia="Times New Roman" w:cs="Times New Roman"/>
          <w:color w:val="000000"/>
          <w:shd w:val="clear" w:color="auto" w:fill="FFFFFF"/>
        </w:rPr>
        <w:t>forestr</w:t>
      </w:r>
      <w:r w:rsidR="00B958D9">
        <w:rPr>
          <w:rFonts w:eastAsia="Times New Roman" w:cs="Times New Roman"/>
          <w:color w:val="000000"/>
          <w:shd w:val="clear" w:color="auto" w:fill="FFFFFF"/>
        </w:rPr>
        <w:t xml:space="preserve">y rather than livestock grazing, for carbon sequestration. </w:t>
      </w:r>
    </w:p>
    <w:p w14:paraId="0385EBA3" w14:textId="77777777" w:rsidR="00C14B6A" w:rsidRPr="00C14B6A" w:rsidRDefault="00C14B6A" w:rsidP="00C14B6A">
      <w:pPr>
        <w:rPr>
          <w:rFonts w:eastAsia="Times New Roman" w:cs="Times New Roman"/>
          <w:color w:val="000000"/>
          <w:shd w:val="clear" w:color="auto" w:fill="FFFFFF"/>
        </w:rPr>
      </w:pPr>
    </w:p>
    <w:p w14:paraId="43AD8469" w14:textId="77777777" w:rsidR="00C14B6A" w:rsidRPr="00C14B6A" w:rsidRDefault="00C14B6A" w:rsidP="00C14B6A">
      <w:pPr>
        <w:rPr>
          <w:rFonts w:eastAsia="Times New Roman" w:cs="Times New Roman"/>
          <w:color w:val="FF0000"/>
        </w:rPr>
      </w:pPr>
      <w:r w:rsidRPr="00C14B6A">
        <w:rPr>
          <w:rFonts w:eastAsia="Times New Roman" w:cs="Times New Roman"/>
          <w:color w:val="FF0000"/>
          <w:shd w:val="clear" w:color="auto" w:fill="FFFFFF"/>
        </w:rPr>
        <w:t>And to maximise the benefits of the coming revolution in agricultural technology.</w:t>
      </w:r>
    </w:p>
    <w:p w14:paraId="72BD92D3" w14:textId="77777777" w:rsidR="001E6368" w:rsidRDefault="001E6368"/>
    <w:p w14:paraId="450CA615" w14:textId="1B231AB3" w:rsidR="00B958D9" w:rsidRDefault="00B958D9">
      <w:r w:rsidRPr="00B958D9">
        <w:rPr>
          <w:i/>
        </w:rPr>
        <w:t>Technical</w:t>
      </w:r>
      <w:r>
        <w:t xml:space="preserve"> innovation in agriculture has the potential to modify food production beneficially but, we argue, it is </w:t>
      </w:r>
      <w:r w:rsidRPr="00B958D9">
        <w:rPr>
          <w:i/>
        </w:rPr>
        <w:t>social</w:t>
      </w:r>
      <w:r>
        <w:t xml:space="preserve"> innovation </w:t>
      </w:r>
      <w:r w:rsidR="008068D5">
        <w:t>(and particularly education) that is needed to change food attitudes, understandings and consumption patterns. We therefore council against technical innovation being seen as a panacea in food policy because it gain runs the risk of pushing food policy back to being dominantly agricultural policy. Technical innovation could therefore further disconnect people form food. In this context we note the following.</w:t>
      </w:r>
    </w:p>
    <w:p w14:paraId="69F5F0C8" w14:textId="77777777" w:rsidR="008068D5" w:rsidRDefault="008068D5"/>
    <w:p w14:paraId="0885B961" w14:textId="722358A8" w:rsidR="008068D5" w:rsidRDefault="008068D5" w:rsidP="008068D5">
      <w:pPr>
        <w:pStyle w:val="ListParagraph"/>
        <w:numPr>
          <w:ilvl w:val="0"/>
          <w:numId w:val="1"/>
        </w:numPr>
      </w:pPr>
      <w:r>
        <w:t>Current UK agriculture is over-capitalised in terms of the value of output per unit of capital input. Capitalisation has arisen as a result of state aid rather than market rationale.</w:t>
      </w:r>
    </w:p>
    <w:p w14:paraId="2CC40A0A" w14:textId="46047FA5" w:rsidR="008068D5" w:rsidRDefault="008068D5" w:rsidP="008068D5">
      <w:pPr>
        <w:pStyle w:val="ListParagraph"/>
        <w:numPr>
          <w:ilvl w:val="0"/>
          <w:numId w:val="1"/>
        </w:numPr>
      </w:pPr>
      <w:r>
        <w:t xml:space="preserve">The ‘current revolution’ in agricultural technology is driven more by </w:t>
      </w:r>
      <w:r w:rsidR="007E201A">
        <w:t xml:space="preserve">the need to counteract Brexit farm labour shortages than by economic efficiency. </w:t>
      </w:r>
    </w:p>
    <w:p w14:paraId="35A1CA1D" w14:textId="343E373E" w:rsidR="007E201A" w:rsidRDefault="007E201A" w:rsidP="008068D5">
      <w:pPr>
        <w:pStyle w:val="ListParagraph"/>
        <w:numPr>
          <w:ilvl w:val="0"/>
          <w:numId w:val="1"/>
        </w:numPr>
      </w:pPr>
      <w:r>
        <w:t>Labour shortages in longer structural terms could also be address by reforms to planning policies that make it easier for lower income people to live in rural areas –toe the extent that they remain the principal theatre for food production.</w:t>
      </w:r>
    </w:p>
    <w:p w14:paraId="51DA10C0" w14:textId="0EFE5E93" w:rsidR="007E201A" w:rsidRDefault="007E201A" w:rsidP="008068D5">
      <w:pPr>
        <w:pStyle w:val="ListParagraph"/>
        <w:numPr>
          <w:ilvl w:val="0"/>
          <w:numId w:val="1"/>
        </w:numPr>
      </w:pPr>
      <w:r>
        <w:t xml:space="preserve">Exploit the potential of ‘technological innovation’ away from land based food production (underground, warehouse growing, aquaponics etc.) as close as possible to the point of consumption. </w:t>
      </w:r>
    </w:p>
    <w:p w14:paraId="39827AFE" w14:textId="78554833" w:rsidR="009D077C" w:rsidRDefault="007E201A" w:rsidP="007E201A">
      <w:pPr>
        <w:pStyle w:val="ListParagraph"/>
        <w:numPr>
          <w:ilvl w:val="0"/>
          <w:numId w:val="1"/>
        </w:numPr>
      </w:pPr>
      <w:r>
        <w:t xml:space="preserve">Explore fully the potential of intermediate technologies, and historical traditions in all aspects of the food chain, as well as ‘modern’ innovation. </w:t>
      </w:r>
    </w:p>
    <w:p w14:paraId="0024344E" w14:textId="67923622" w:rsidR="000020AB" w:rsidRDefault="007E201A" w:rsidP="007E201A">
      <w:pPr>
        <w:pStyle w:val="ListParagraph"/>
        <w:numPr>
          <w:ilvl w:val="0"/>
          <w:numId w:val="1"/>
        </w:numPr>
      </w:pPr>
      <w:r>
        <w:t xml:space="preserve">Exploit </w:t>
      </w:r>
      <w:r w:rsidR="003342E9">
        <w:t xml:space="preserve"> technologies that can yield </w:t>
      </w:r>
      <w:r>
        <w:t xml:space="preserve">the </w:t>
      </w:r>
      <w:r w:rsidR="003342E9">
        <w:t xml:space="preserve">multiple benefits </w:t>
      </w:r>
      <w:r>
        <w:t xml:space="preserve">from food production noted above. </w:t>
      </w:r>
    </w:p>
    <w:p w14:paraId="5972A6E0" w14:textId="77777777" w:rsidR="008068D5" w:rsidRDefault="008068D5"/>
    <w:p w14:paraId="378EC586" w14:textId="3091839B" w:rsidR="00C14B6A" w:rsidRPr="008068D5" w:rsidRDefault="008068D5">
      <w:pPr>
        <w:rPr>
          <w:color w:val="FF0000"/>
        </w:rPr>
      </w:pPr>
      <w:r w:rsidRPr="008068D5">
        <w:rPr>
          <w:color w:val="FF0000"/>
        </w:rPr>
        <w:t>Postscript</w:t>
      </w:r>
    </w:p>
    <w:p w14:paraId="1E78C9DA" w14:textId="77777777" w:rsidR="008068D5" w:rsidRDefault="008068D5"/>
    <w:p w14:paraId="1AE467F2" w14:textId="6C661A13" w:rsidR="008068D5" w:rsidRDefault="008068D5">
      <w:r>
        <w:t>None of the proposals set out above is asserted as a direct replacement of current food system characteristics, certainly in the short term. They are innovations that need to be supported and monitored and evaluated in an experimental way at the same time as the necessary structural adjustments in agriculture to move away from high input</w:t>
      </w:r>
      <w:r w:rsidR="007E201A">
        <w:t>, high animal</w:t>
      </w:r>
      <w:r>
        <w:t xml:space="preserve"> farming. </w:t>
      </w:r>
    </w:p>
    <w:sectPr w:rsidR="008068D5" w:rsidSect="001E6368">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CD26D" w14:textId="77777777" w:rsidR="008068D5" w:rsidRDefault="008068D5" w:rsidP="00BC125D">
      <w:r>
        <w:separator/>
      </w:r>
    </w:p>
  </w:endnote>
  <w:endnote w:type="continuationSeparator" w:id="0">
    <w:p w14:paraId="66781520" w14:textId="77777777" w:rsidR="008068D5" w:rsidRDefault="008068D5" w:rsidP="00BC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3175" w14:textId="77777777" w:rsidR="008068D5" w:rsidRDefault="008068D5" w:rsidP="00617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C9671" w14:textId="77777777" w:rsidR="008068D5" w:rsidRDefault="008068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240F" w14:textId="77777777" w:rsidR="008068D5" w:rsidRDefault="008068D5" w:rsidP="00617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182">
      <w:rPr>
        <w:rStyle w:val="PageNumber"/>
        <w:noProof/>
      </w:rPr>
      <w:t>1</w:t>
    </w:r>
    <w:r>
      <w:rPr>
        <w:rStyle w:val="PageNumber"/>
      </w:rPr>
      <w:fldChar w:fldCharType="end"/>
    </w:r>
  </w:p>
  <w:p w14:paraId="66583D28" w14:textId="77777777" w:rsidR="008068D5" w:rsidRDefault="008068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8BB83" w14:textId="77777777" w:rsidR="008068D5" w:rsidRDefault="008068D5" w:rsidP="00BC125D">
      <w:r>
        <w:separator/>
      </w:r>
    </w:p>
  </w:footnote>
  <w:footnote w:type="continuationSeparator" w:id="0">
    <w:p w14:paraId="08D49807" w14:textId="77777777" w:rsidR="008068D5" w:rsidRDefault="008068D5" w:rsidP="00BC125D">
      <w:r>
        <w:continuationSeparator/>
      </w:r>
    </w:p>
  </w:footnote>
  <w:footnote w:id="1">
    <w:p w14:paraId="4C552C0F" w14:textId="7BACFE72" w:rsidR="008068D5" w:rsidRPr="00BC125D" w:rsidRDefault="008068D5">
      <w:pPr>
        <w:pStyle w:val="FootnoteText"/>
        <w:rPr>
          <w:sz w:val="16"/>
          <w:szCs w:val="16"/>
          <w:lang w:val="en-US"/>
        </w:rPr>
      </w:pPr>
      <w:r>
        <w:rPr>
          <w:rStyle w:val="FootnoteReference"/>
        </w:rPr>
        <w:footnoteRef/>
      </w:r>
      <w:r>
        <w:t xml:space="preserve"> </w:t>
      </w:r>
      <w:r w:rsidRPr="00BC125D">
        <w:rPr>
          <w:sz w:val="16"/>
          <w:szCs w:val="16"/>
        </w:rPr>
        <w:t xml:space="preserve">All data in this document </w:t>
      </w:r>
      <w:r>
        <w:rPr>
          <w:sz w:val="16"/>
          <w:szCs w:val="16"/>
        </w:rPr>
        <w:t>are f</w:t>
      </w:r>
      <w:r w:rsidRPr="00BC125D">
        <w:rPr>
          <w:sz w:val="16"/>
          <w:szCs w:val="16"/>
        </w:rPr>
        <w:t>r</w:t>
      </w:r>
      <w:r>
        <w:rPr>
          <w:sz w:val="16"/>
          <w:szCs w:val="16"/>
        </w:rPr>
        <w:t>o</w:t>
      </w:r>
      <w:r w:rsidRPr="00BC125D">
        <w:rPr>
          <w:sz w:val="16"/>
          <w:szCs w:val="16"/>
        </w:rPr>
        <w:t>m government sources (principally Defra)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DA7"/>
    <w:multiLevelType w:val="hybridMultilevel"/>
    <w:tmpl w:val="D7BCBFDE"/>
    <w:lvl w:ilvl="0" w:tplc="104A574E">
      <w:numFmt w:val="bullet"/>
      <w:lvlText w:val=""/>
      <w:lvlJc w:val="left"/>
      <w:pPr>
        <w:ind w:left="720" w:hanging="360"/>
      </w:pPr>
      <w:rPr>
        <w:rFonts w:ascii="Symbol" w:eastAsiaTheme="minorEastAsia" w:hAnsi="Symbol" w:cstheme="minorBid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64F77"/>
    <w:multiLevelType w:val="hybridMultilevel"/>
    <w:tmpl w:val="27DC89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D7642"/>
    <w:multiLevelType w:val="hybridMultilevel"/>
    <w:tmpl w:val="7102EC86"/>
    <w:lvl w:ilvl="0" w:tplc="891EDD7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6A"/>
    <w:rsid w:val="000020AB"/>
    <w:rsid w:val="00031DD8"/>
    <w:rsid w:val="000456F7"/>
    <w:rsid w:val="00053062"/>
    <w:rsid w:val="00084032"/>
    <w:rsid w:val="000D43E1"/>
    <w:rsid w:val="00115C24"/>
    <w:rsid w:val="001E6368"/>
    <w:rsid w:val="00296182"/>
    <w:rsid w:val="003342E9"/>
    <w:rsid w:val="003917D7"/>
    <w:rsid w:val="003E3743"/>
    <w:rsid w:val="003F4AF5"/>
    <w:rsid w:val="00433E73"/>
    <w:rsid w:val="00617E2C"/>
    <w:rsid w:val="006777CA"/>
    <w:rsid w:val="00786867"/>
    <w:rsid w:val="007B01CB"/>
    <w:rsid w:val="007B7BB5"/>
    <w:rsid w:val="007E201A"/>
    <w:rsid w:val="008068D5"/>
    <w:rsid w:val="008729AC"/>
    <w:rsid w:val="008D1FE6"/>
    <w:rsid w:val="009D077C"/>
    <w:rsid w:val="00AD045F"/>
    <w:rsid w:val="00B958D9"/>
    <w:rsid w:val="00BC125D"/>
    <w:rsid w:val="00BE0365"/>
    <w:rsid w:val="00C14B6A"/>
    <w:rsid w:val="00C44B1D"/>
    <w:rsid w:val="00CC33A3"/>
    <w:rsid w:val="00DB4050"/>
    <w:rsid w:val="00F36F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DB04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2E9"/>
    <w:pPr>
      <w:ind w:left="720"/>
      <w:contextualSpacing/>
    </w:pPr>
  </w:style>
  <w:style w:type="paragraph" w:styleId="BalloonText">
    <w:name w:val="Balloon Text"/>
    <w:basedOn w:val="Normal"/>
    <w:link w:val="BalloonTextChar"/>
    <w:uiPriority w:val="99"/>
    <w:semiHidden/>
    <w:unhideWhenUsed/>
    <w:rsid w:val="00115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C24"/>
    <w:rPr>
      <w:rFonts w:ascii="Lucida Grande" w:hAnsi="Lucida Grande"/>
      <w:sz w:val="18"/>
      <w:szCs w:val="18"/>
    </w:rPr>
  </w:style>
  <w:style w:type="paragraph" w:styleId="FootnoteText">
    <w:name w:val="footnote text"/>
    <w:basedOn w:val="Normal"/>
    <w:link w:val="FootnoteTextChar"/>
    <w:uiPriority w:val="99"/>
    <w:unhideWhenUsed/>
    <w:rsid w:val="00BC125D"/>
    <w:rPr>
      <w:sz w:val="24"/>
      <w:szCs w:val="24"/>
    </w:rPr>
  </w:style>
  <w:style w:type="character" w:customStyle="1" w:styleId="FootnoteTextChar">
    <w:name w:val="Footnote Text Char"/>
    <w:basedOn w:val="DefaultParagraphFont"/>
    <w:link w:val="FootnoteText"/>
    <w:uiPriority w:val="99"/>
    <w:rsid w:val="00BC125D"/>
    <w:rPr>
      <w:sz w:val="24"/>
      <w:szCs w:val="24"/>
    </w:rPr>
  </w:style>
  <w:style w:type="character" w:styleId="FootnoteReference">
    <w:name w:val="footnote reference"/>
    <w:basedOn w:val="DefaultParagraphFont"/>
    <w:uiPriority w:val="99"/>
    <w:unhideWhenUsed/>
    <w:rsid w:val="00BC125D"/>
    <w:rPr>
      <w:vertAlign w:val="superscript"/>
    </w:rPr>
  </w:style>
  <w:style w:type="paragraph" w:styleId="Footer">
    <w:name w:val="footer"/>
    <w:basedOn w:val="Normal"/>
    <w:link w:val="FooterChar"/>
    <w:uiPriority w:val="99"/>
    <w:unhideWhenUsed/>
    <w:rsid w:val="000020AB"/>
    <w:pPr>
      <w:tabs>
        <w:tab w:val="center" w:pos="4320"/>
        <w:tab w:val="right" w:pos="8640"/>
      </w:tabs>
    </w:pPr>
  </w:style>
  <w:style w:type="character" w:customStyle="1" w:styleId="FooterChar">
    <w:name w:val="Footer Char"/>
    <w:basedOn w:val="DefaultParagraphFont"/>
    <w:link w:val="Footer"/>
    <w:uiPriority w:val="99"/>
    <w:rsid w:val="000020AB"/>
  </w:style>
  <w:style w:type="character" w:styleId="PageNumber">
    <w:name w:val="page number"/>
    <w:basedOn w:val="DefaultParagraphFont"/>
    <w:uiPriority w:val="99"/>
    <w:semiHidden/>
    <w:unhideWhenUsed/>
    <w:rsid w:val="000020AB"/>
  </w:style>
  <w:style w:type="table" w:styleId="TableGrid">
    <w:name w:val="Table Grid"/>
    <w:basedOn w:val="TableNormal"/>
    <w:uiPriority w:val="59"/>
    <w:rsid w:val="00F36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2E9"/>
    <w:pPr>
      <w:ind w:left="720"/>
      <w:contextualSpacing/>
    </w:pPr>
  </w:style>
  <w:style w:type="paragraph" w:styleId="BalloonText">
    <w:name w:val="Balloon Text"/>
    <w:basedOn w:val="Normal"/>
    <w:link w:val="BalloonTextChar"/>
    <w:uiPriority w:val="99"/>
    <w:semiHidden/>
    <w:unhideWhenUsed/>
    <w:rsid w:val="00115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C24"/>
    <w:rPr>
      <w:rFonts w:ascii="Lucida Grande" w:hAnsi="Lucida Grande"/>
      <w:sz w:val="18"/>
      <w:szCs w:val="18"/>
    </w:rPr>
  </w:style>
  <w:style w:type="paragraph" w:styleId="FootnoteText">
    <w:name w:val="footnote text"/>
    <w:basedOn w:val="Normal"/>
    <w:link w:val="FootnoteTextChar"/>
    <w:uiPriority w:val="99"/>
    <w:unhideWhenUsed/>
    <w:rsid w:val="00BC125D"/>
    <w:rPr>
      <w:sz w:val="24"/>
      <w:szCs w:val="24"/>
    </w:rPr>
  </w:style>
  <w:style w:type="character" w:customStyle="1" w:styleId="FootnoteTextChar">
    <w:name w:val="Footnote Text Char"/>
    <w:basedOn w:val="DefaultParagraphFont"/>
    <w:link w:val="FootnoteText"/>
    <w:uiPriority w:val="99"/>
    <w:rsid w:val="00BC125D"/>
    <w:rPr>
      <w:sz w:val="24"/>
      <w:szCs w:val="24"/>
    </w:rPr>
  </w:style>
  <w:style w:type="character" w:styleId="FootnoteReference">
    <w:name w:val="footnote reference"/>
    <w:basedOn w:val="DefaultParagraphFont"/>
    <w:uiPriority w:val="99"/>
    <w:unhideWhenUsed/>
    <w:rsid w:val="00BC125D"/>
    <w:rPr>
      <w:vertAlign w:val="superscript"/>
    </w:rPr>
  </w:style>
  <w:style w:type="paragraph" w:styleId="Footer">
    <w:name w:val="footer"/>
    <w:basedOn w:val="Normal"/>
    <w:link w:val="FooterChar"/>
    <w:uiPriority w:val="99"/>
    <w:unhideWhenUsed/>
    <w:rsid w:val="000020AB"/>
    <w:pPr>
      <w:tabs>
        <w:tab w:val="center" w:pos="4320"/>
        <w:tab w:val="right" w:pos="8640"/>
      </w:tabs>
    </w:pPr>
  </w:style>
  <w:style w:type="character" w:customStyle="1" w:styleId="FooterChar">
    <w:name w:val="Footer Char"/>
    <w:basedOn w:val="DefaultParagraphFont"/>
    <w:link w:val="Footer"/>
    <w:uiPriority w:val="99"/>
    <w:rsid w:val="000020AB"/>
  </w:style>
  <w:style w:type="character" w:styleId="PageNumber">
    <w:name w:val="page number"/>
    <w:basedOn w:val="DefaultParagraphFont"/>
    <w:uiPriority w:val="99"/>
    <w:semiHidden/>
    <w:unhideWhenUsed/>
    <w:rsid w:val="000020AB"/>
  </w:style>
  <w:style w:type="table" w:styleId="TableGrid">
    <w:name w:val="Table Grid"/>
    <w:basedOn w:val="TableNormal"/>
    <w:uiPriority w:val="59"/>
    <w:rsid w:val="00F36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51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1357</Words>
  <Characters>7736</Characters>
  <Application>Microsoft Macintosh Word</Application>
  <DocSecurity>0</DocSecurity>
  <Lines>64</Lines>
  <Paragraphs>18</Paragraphs>
  <ScaleCrop>false</ScaleCrop>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2019-08-27T11:25:00Z</dcterms:created>
  <dcterms:modified xsi:type="dcterms:W3CDTF">2020-03-11T12:40:00Z</dcterms:modified>
</cp:coreProperties>
</file>